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Оповещение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о начале публичных слушаний </w:t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50"/>
        <w:ind w:firstLine="709"/>
        <w:jc w:val="both"/>
        <w:tabs>
          <w:tab w:val="clear" w:pos="708" w:leader="none"/>
          <w:tab w:val="center" w:pos="4818" w:leader="none"/>
          <w:tab w:val="right" w:pos="9637" w:leader="none"/>
        </w:tabs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0"/>
        <w:ind w:right="-1" w:firstLine="709"/>
        <w:jc w:val="both"/>
        <w:rPr>
          <w:rFonts w:ascii="Tinos" w:hAnsi="Tinos" w:cs="Tinos"/>
          <w:b w:val="0"/>
          <w:bCs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Глава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 Лубянского сельского поселения муниципального района «Чернянский район» Белгородской области  оповещает о проведении публичных слушаний по проекту внесения изменений в правила землепользования и застройки Лубянского сельского поселения </w:t>
      </w: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.</w:t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3780" w:leader="none"/>
        </w:tabs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Приглашаем всех заинтересованных лиц принять участие в данном мероприятии.Информация по вынесенному на публичное обсуждение проекта приведена ниже.</w:t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tabs>
          <w:tab w:val="clear" w:pos="708" w:leader="none"/>
          <w:tab w:val="left" w:pos="3780" w:leader="none"/>
        </w:tabs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tbl>
      <w:tblPr>
        <w:tblStyle w:val="70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943"/>
        <w:gridCol w:w="6345"/>
      </w:tblGrid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ind w:left="0" w:right="-74" w:firstLine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Наименование проекта, подлежащего рассмотрению на публичных слушаний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проекту внесения изменений в правила землепользования и застройки Лубянского 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муниципального района « Чернянский район» Белгородской области(в картографическую  и текстовую части)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Перечень информационных материалов к проекту 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Распоряжение главы Лубянского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от 17.01.2024 г. №1 «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по проекту « Внесение изменений в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правила землепользования и застройки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сельского поселения муниципального района « Чернянский район» Белгородской области»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980"/>
        </w:trPr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проект внесения изменений в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правила землепользования и застройки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сельского поселения муниципального района « Чернянский район» Белгородской области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материалы проекта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Сроки проведения публичных слушаний, территория, в пределах которой  проводятся публичные слушания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17.01.2024г.-01.02.2024, в пределах территории Лубянского сельского поселения  Чернянского района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Состав рабочей группы по организации и проведению публичных слушаний, контактный телефон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1) Гончарова В.Н.  – глава администрации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муниципального района « Чернянский район» Белгородской области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2)Потапова М.М.-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глава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муниципального района « Чернянский район» Белгородской области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pStyle w:val="850"/>
              <w:ind w:left="0"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Потапов В.С.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– депутат Земского собрания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Лубянского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сельского поселения, депутат Муниципального совета Чернянского района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поселения;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pStyle w:val="850"/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4)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Елфимов А.С.-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заместитель главы администрации Чернянского района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–руководитель управления имущественных и земельных отношений;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5)Бондаренко А.Д.-начальник отдела архитектуры, градостроительства и ландшафтного обустройства администрации Чернянского района;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6)Стрекозов Э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.Н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.-руководитель правового управления администрации Чернянского района;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7)Априщенко О.Н-специалист I категории МКУ « Управления строительства, транспорта, связи и ЖКХ».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ind w:left="0" w:firstLine="567"/>
              <w:jc w:val="both"/>
              <w:spacing w:line="240" w:lineRule="auto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тел: 5-53-96, тел. 4-61-35</w:t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Порядок проведения публичных слушаний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Организация и проведение собрания ( 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Место , дата открытия экспозиции проекта, подлежащего рассмотрению на публичных слушаниях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Белгородская область. Чернянский район,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с. Лубяное-Первое, ул. Школьная, д.2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 17.01.2024 г.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 проведения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экспозиции проекта, подлежащего рассмотрению на публичных слушаниях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17.01.2024 г.-29.01.2024 г.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Дни и часы , в которые возможно посещение указанной экспозиции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Понедельник –пятница, с 8.00-17.00 часов, исключая время с 12.00-13.45 часов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Сроки внесения участниками публичных слушаний замечаний и предложений  по проекту(1)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20.01.2024г.-29.01.2024г.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Место приема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от участников публичных слушаний замечаний и предложений  по проекту(1), дни и часы приема замечаний и предложений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Белгородская область. Чернянский район,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с. Лубяное-Первое, ул. Школьная, д.2, понедельник –пятница, с 8.00-17.00 часов, исключая время с 12.00-13.45 часов.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Начало приема предложений:20.01.2024 года с 9.00 ч.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Окончание приема предложений: 29.01.2024г. В 16.00 ч.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Адрес  электронной почты :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hyperlink r:id="rId9" w:tooltip="http://lubjanoe@ch.belregion.ru" w:history="1"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  <w:t xml:space="preserve">lubjanoe@ch.belregion.ru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</w:r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Style w:val="856"/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Форма внесения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участниками публичных слушаний замечаний и предложений  по проекту(1)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Письменно, либо устно –во время проведения публичных слушаний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Наименование и адрес сайта  в сети Интернет (и(или) информационной системы), где размещаются проект (1) и материалы к нему(2)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Официальный сайт администрации Лубянского сельского поселения муниципального района « Чернянский район» Белгородской области в сети Интернет, адрес сайта: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hyperlink r:id="rId10" w:tooltip="http://lubyanoepervoe-r31.gosweb.gosuslugi.ru" w:history="1">
              <w:r>
                <w:rPr>
                  <w:rStyle w:val="856"/>
                  <w:rFonts w:ascii="Tinos" w:hAnsi="Tinos" w:eastAsia="Tinos" w:cs="Tinos"/>
                  <w:b/>
                  <w:bCs/>
                  <w:sz w:val="24"/>
                  <w:szCs w:val="24"/>
                </w:rPr>
                <w:t xml:space="preserve">https: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</w:rPr>
                <w:t xml:space="preserve">//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  <w:highlight w:val="white"/>
                </w:rPr>
                <w:t xml:space="preserve">lubyanoepervoe-r31.gosweb.gosuslugi.ru</w:t>
              </w:r>
              <w:r>
                <w:rPr>
                  <w:rStyle w:val="856"/>
                  <w:rFonts w:ascii="Tinos" w:hAnsi="Tinos" w:eastAsia="Tinos" w:cs="Tinos"/>
                  <w:b/>
                  <w:bCs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на Едином веб-портале государственных и муниципальных услуг (функций) (https://www.gosuslugi.ru, раздел «Общественные обсуждения и публичные слушания»)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Дата,  место и время проведения  собрания участников публичных слушаний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50"/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white"/>
              </w:rPr>
              <w:t xml:space="preserve">.2024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г.</w:t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село Становое, ул. Троицкая, д.38/2( здание ФАПа)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- 9 часов 30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ind w:firstLine="567"/>
              <w:jc w:val="both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село Лубяное-Первое, ул. Школьная,  д. 3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здании Дома культуры)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- 11 часов 30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left"/>
              <w:spacing w:line="240" w:lineRule="auto"/>
              <w:rPr>
                <w:rFonts w:ascii="Tinos" w:hAnsi="Tinos" w:cs="Tinos"/>
                <w:color w:val="000000"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highlight w:val="none"/>
              </w:rPr>
              <w:t xml:space="preserve">хутор Медвежье, ул.Родниковая( возле жилого дома №15)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-13 часов 30 минут.  </w:t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  <w:r>
              <w:rPr>
                <w:rFonts w:ascii="Tinos" w:hAnsi="Tinos" w:cs="Tinos"/>
                <w:color w:val="000000"/>
                <w:sz w:val="28"/>
                <w:szCs w:val="28"/>
              </w:rPr>
            </w:r>
          </w:p>
          <w:p>
            <w:pP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  <w:highlight w:val="yellow"/>
              </w:rPr>
            </w:r>
          </w:p>
        </w:tc>
      </w:tr>
    </w:tbl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0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980657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0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0"/>
    <w:next w:val="850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7"/>
    <w:uiPriority w:val="99"/>
  </w:style>
  <w:style w:type="character" w:styleId="705">
    <w:name w:val="Footer Char"/>
    <w:basedOn w:val="853"/>
    <w:link w:val="868"/>
    <w:uiPriority w:val="99"/>
  </w:style>
  <w:style w:type="character" w:styleId="706">
    <w:name w:val="Caption Char"/>
    <w:basedOn w:val="864"/>
    <w:link w:val="868"/>
    <w:uiPriority w:val="99"/>
  </w:style>
  <w:style w:type="table" w:styleId="70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1">
    <w:name w:val="Heading 1"/>
    <w:basedOn w:val="850"/>
    <w:next w:val="850"/>
    <w:link w:val="854"/>
    <w:qFormat/>
    <w:pPr>
      <w:ind w:firstLine="720"/>
      <w:keepNext/>
      <w:outlineLvl w:val="0"/>
    </w:pPr>
    <w:rPr>
      <w:sz w:val="28"/>
      <w:szCs w:val="20"/>
    </w:rPr>
  </w:style>
  <w:style w:type="paragraph" w:styleId="852">
    <w:name w:val="Heading 2"/>
    <w:basedOn w:val="850"/>
    <w:next w:val="850"/>
    <w:link w:val="855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Заголовок 1 Знак"/>
    <w:basedOn w:val="853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5" w:customStyle="1">
    <w:name w:val="Заголовок 2 Знак"/>
    <w:basedOn w:val="853"/>
    <w:semiHidden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6">
    <w:name w:val="Hyperlink"/>
    <w:uiPriority w:val="99"/>
    <w:unhideWhenUsed/>
    <w:rPr>
      <w:color w:val="0000ff"/>
      <w:u w:val="single"/>
    </w:rPr>
  </w:style>
  <w:style w:type="character" w:styleId="857" w:customStyle="1">
    <w:name w:val="Верх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Ниж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Текст выноски Знак"/>
    <w:basedOn w:val="853"/>
    <w:link w:val="86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60">
    <w:name w:val="FollowedHyperlink"/>
    <w:rPr>
      <w:color w:val="800000"/>
      <w:u w:val="single"/>
    </w:rPr>
  </w:style>
  <w:style w:type="paragraph" w:styleId="861">
    <w:name w:val="Заголовок"/>
    <w:basedOn w:val="850"/>
    <w:next w:val="86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2">
    <w:name w:val="Body Text"/>
    <w:basedOn w:val="850"/>
    <w:pPr>
      <w:spacing w:before="0" w:after="140" w:line="276" w:lineRule="auto"/>
    </w:pPr>
  </w:style>
  <w:style w:type="paragraph" w:styleId="863">
    <w:name w:val="List"/>
    <w:basedOn w:val="862"/>
    <w:rPr>
      <w:rFonts w:ascii="PT Astra Serif" w:hAnsi="PT Astra Serif" w:cs="Noto Sans Devanagari"/>
    </w:rPr>
  </w:style>
  <w:style w:type="paragraph" w:styleId="864">
    <w:name w:val="Caption"/>
    <w:basedOn w:val="85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5">
    <w:name w:val="Указатель"/>
    <w:basedOn w:val="850"/>
    <w:qFormat/>
    <w:pPr>
      <w:suppressLineNumbers/>
    </w:pPr>
    <w:rPr>
      <w:rFonts w:ascii="PT Astra Serif" w:hAnsi="PT Astra Serif" w:cs="Noto Sans Devanagari"/>
    </w:rPr>
  </w:style>
  <w:style w:type="paragraph" w:styleId="866">
    <w:name w:val="Колонтитул"/>
    <w:basedOn w:val="850"/>
    <w:qFormat/>
  </w:style>
  <w:style w:type="paragraph" w:styleId="867">
    <w:name w:val="Header"/>
    <w:basedOn w:val="850"/>
    <w:link w:val="85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50"/>
    <w:link w:val="8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>
    <w:name w:val="Balloon Text"/>
    <w:basedOn w:val="850"/>
    <w:link w:val="859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lubjanoe@ch.belregion.ru" TargetMode="External"/><Relationship Id="rId10" Type="http://schemas.openxmlformats.org/officeDocument/2006/relationships/hyperlink" Target="http://lubyanoepervo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47</cp:revision>
  <dcterms:created xsi:type="dcterms:W3CDTF">2018-11-15T05:43:00Z</dcterms:created>
  <dcterms:modified xsi:type="dcterms:W3CDTF">2024-01-17T08:30:49Z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