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E5" w:rsidRPr="003727E5" w:rsidRDefault="003727E5" w:rsidP="003727E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ПРАВИТЕЛЬСТВО БЕЛГОРОДСКОЙ ОБЛАСТИ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ПОСТАНОВЛЕНИЕ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от 14 февраля 2011 года N 54-пп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ОБ ОРГАНИЗАЦИИ НАРУЖНОГО ОСВЕЩЕНИЯ НАСЕЛЕННЫХ ПУНКТОВ НА ТЕРРИТОРИИ БЕЛГОРОДСКОЙ ОБЛАСТИ</w:t>
      </w:r>
    </w:p>
    <w:p w:rsidR="003727E5" w:rsidRPr="003727E5" w:rsidRDefault="003727E5" w:rsidP="003727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(в редакции постановлений Правительства Белгородской области от 06.02.2012 N 43-пп, </w:t>
      </w:r>
      <w:hyperlink r:id="rId4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10.08.2015 N 286-пп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В целях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реализации Программы улучшения качества жизни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населения, соблюдения принципов бюджетирования, ориентированных на конечный результат, в жилищно-коммунальном хозяйстве правительство Белгородской области постановляет: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1. Считать организацию наружного освещения населенных пунктов на территории Белгородской области неотъемлемой частью реализации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Программы улучшения качества жизни населения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2. Утвердить типовую Методику расчета потребности денежных средств на организацию наружного освещения населенных пунктов на территории Белгородской области (далее - Методика, прилагается).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3. Департаменту жилищно-коммунального хозяйства Белгородской области (Галдун Ю.В.) при расчете потребности денежных средств на организацию наружного освещения населенных пунктов на территории Белгородской области руководствоваться Методикой.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6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постановлений Правительства Белгородской области 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10.08.2015 N 286-пп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4. Департаменту финансов и бюджетной политики Белгородской области (Боровик В.Ф.) предусматривать в межбюджетных отношениях денежные средства на реализацию настоящего постановления при формировании проекта бюджета области на соответствующий финансовый период.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5. Рекомендовать администрациям муниципальных районов и городских округов: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- принять соответствующие положения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о расчете потребности денежных средств на организацию наружного освещения населенных пунктов на территории муниципального образования в соответствии с Методикой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, утвержденной в пункте 2 настоящего постановления;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в целях обеспечения безопасности и улучшения освещения внутрипоселенческих дорог определить перечень главных улиц, площадей, мест массового пребывания людей, путепроводов, мостов, кольцевых транспортных развязок и других жизненно важных объектов, требующих освещения в ночном режиме;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- совместно с эксплуатирующей организацией обеспечить единый технический подход к организации наружного освещения населенных пунктов, направленный на поддержание нормируемых светотехнических параметров;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предусмотреть денежные средства на организацию наружного освещения населенных пунктов при формировании проектов бюджетов муниципальных образований на соответствующий финансовый период;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заключить муниципальные контракты на оказание услуг по наружному освещению;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установить единый график работы наружного освещения, обеспечить контроль его соблюдения;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абзац исключен. - </w:t>
      </w:r>
      <w:hyperlink r:id="rId8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Постановление Правительства Белгородской области 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6. Признать утратившими силу постановления правительства Белгородской области от 20 августа 2007 года N 185-пп "Об организации эксплуатации объектов наружного освещения населенных пунктов на территории Белгородской области", от 21 июля 2008 года N 185-пп "О внесении изменений в постановление правительства Белгородской области от 20 августа 2007 года N 185-пп".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7.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исполнением постановления возложить на департамент жилищно-коммунального хозяйства Белгородской области (Галдун Ю.В.), Комиссию по государственному регулированию цен и тарифов в Белгородской области (Бондарев Г.И.).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в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ред. </w:t>
      </w:r>
      <w:hyperlink r:id="rId9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постановлений Правительства Белгородской области 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10.08.2015 N 286-пп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Информацию об исполнении постановления представлять ежегодно к 20 января года, следующего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за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отчетным.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Губернатор Белгородской области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  <w:t>Е.САВЧЕНКО</w:t>
      </w:r>
    </w:p>
    <w:p w:rsidR="003727E5" w:rsidRPr="003727E5" w:rsidRDefault="003727E5" w:rsidP="003727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proofErr w:type="gramStart"/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Утверждена</w:t>
      </w:r>
      <w:proofErr w:type="gramEnd"/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постановлением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правительства Белгородской области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14 февраля 2011 года N 54-пп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 ТИПОВАЯ МЕТОДИКА РАСЧЕТА ПОТРЕБНОСТИ ДЕНЕЖНЫХ СРЕДСТВ НА ОРГАНИЗАЦИЮ НАРУЖНОГО ОСВЕЩЕНИЯ НАСЕЛЕННЫХ ПУНКТОВ НА ТЕРРИТОРИИ БЕЛГОРОДСКОЙ ОБЛАСТИ</w:t>
      </w:r>
    </w:p>
    <w:p w:rsidR="003727E5" w:rsidRPr="003727E5" w:rsidRDefault="003727E5" w:rsidP="003727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(в редакции постановлений Правительства Белгородской области от 06.02.2012 N 43-пп, </w:t>
      </w:r>
      <w:hyperlink r:id="rId11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      1. Общие положения</w:t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Настоящая типовая Методика расчета потребности денежных средств на организацию наружного освещения населенных пунктов на территории Белгородской области (далее - Методика) разработана в соответствии со СНиП 23-05-95 "Естественное и искусственное освещение", ГОСТ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Р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50597-93 "Автомобильные дороги и улицы", Методическими рекомендациями по определению стоимости эксплуатации объектов наружного освещения, разработанными Центром муниципальной экономики и права, и предназначена для определения потребности в денежных средствах на организацию наружного освещения в Белгородской области.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Настоящая Методика носит рекомендательный характер и служит для регулирования межбюджетных отношений при формировании проекта консолидированного бюджета области на очередной финансовый период.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В Методике используются следующие основные понятия: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организации (или подрядчики) - организации, занятые эксплуатацией объектов наружного освещения;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объекты наружного освещения - светильники открытого и закрытого исполнения с лампами накаливания, люминесцентными, натриевыми, ртутными и другими типами ламп, воздушные и кабельные распределительные линии, пункты питания, а также устройства телемеханического и автоматического управления наружным освещением;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эксплуатация - стадии жизненного цикла систем и объектов наружного освещения, на которых осуществляется их использование по прямому назначению, поддержание и восстановление технического состояния, обеспечивающего надежную и длительную работу.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Эксплуатация объектов наружного освещения включает в себя работы по техническому обслуживанию и ремонту объектов наружного освещения;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стоимость эксплуатации объектов наружного освещения - стоимостная оценка используемых в процессе оказания услуг по эксплуатации объектов наружного освещения сырья, материалов, топлива, энергии, основных фондов, трудовых ресурсов, а также других расходов на производство и реализацию данных услуг и прибыли;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расчетный период - период, на который определяется потребность в денежных средствах на организацию наружного освещения (месяц, год);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единица услуги по организации наружного освещения - один час работы светоточки, которая состоит из стоимости потребленной электроэнергии одной светоточкой и стоимости эксплуатации;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светоточка - осветительный прибор с лампой и пускорегулирующей аппаратурой;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общий режим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(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) - 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общее время работы наружного освещения в течение темного времени суток (3975 часов в год);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ночной режим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(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26" type="#_x0000_t75" alt="" style="width:16.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) - 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время работы наружного освещения в темное время суток с 00:00 часов до 06:00 часов (2110 часов в год);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оптимальный режим (t опт) - время работы наружного освещения с момента его включения при наступлении вечерних сумерек до 23:35 часов и с 06:00 часов до момента выключения освещения при наступлении утренних сумерек (1865 часов в год).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12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постановления Правительства Белгородской области 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Значения иных понятий, используемых в Методике, соответствуют принятым в нормативных правовых актах Российской Федерации.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3727E5" w:rsidRPr="003727E5" w:rsidRDefault="003727E5" w:rsidP="003727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2. Организация работ</w:t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Главные улицы, площади, места массового пребывания людей, путепроводы, мосты и кольцевые транспортные развязки должны освещаться в соответствии с ночным режимом работы наружного освещения.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Категории улиц и дорог следует назначать в соответствии с требованиями СНиП 2.07.01-89 "Строительные нормы и правила. Градостроительство. Планировка и застройка городских и сельских поселений".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транспортных средств в обоих направлениях - менее 50 ед./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ч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Организации независимо от формы собственности, эксплуатирующие электрические сети на территории области, обязаны: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- осуществлять постоянный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освещением улиц и санитарным состоянием объектов специального назначения;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производить замену вышедших из строя ламп;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своевременно включать и выключать наружное освещение в соответствии с единым графиком работы наружного освещения;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производить регулярную ревизию и чистку находящихся на обслуживании светильников.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Услуги по наружному освещению включают в себя комплекс мероприятий, направленных на поддержание нормируемых светотехнических параметров установок наружного освещения и заданных графиков режимов их работы, на обеспечение бесперебойной и надежной работы установок, на предотвращение их преждевременного износа путем своевременного выполнения обязательных регламентных работ, выявления и устранения возникающих неисправностей. Услуги по наружному освещению включают в себя выполнение работ по техническому обслуживанию и ремонту объектов наружного освещения.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Техническое обслуживание установок наружного освещения включает работы по осмотру и проверке состояния установок, устранению мелких дефектов и ликвидации повреждений, замене элементов установок (проводов, осветительной арматуры, кабеля), проведению ревизий и ремонту устройств телемеханического и автоматического управления сетями. Эти работы осуществляются в соответствии с установленной исходя из местных условий периодичностью согласно нормам обслуживания. К работам по техническому обслуживанию объектов наружного освещения относятся следующие виды работ: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замена электрических ламп, чистка светильников, надзор за исправностью электросетей, оборудования и сооружений;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устранение повреждений электросетей, осветительной арматуры и оборудования.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Осмотр установок наружного освещения должен производиться в следующие сроки: устройств телемеханического управления с выполнением осмотра состояния аппаратуры и коммуникаций, опробования действием, чистки - один раз в год; установок наружного освещения с выполнением проверки состояния проводов, изоляторов, тросовых подвесок и оттяжек, кронштейнов цоколей опор - один раз в год.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Ремонт сетей наружного освещения включает замену проводов и растяжек в пределах пролета между опорами, но не более 20 процентов от общего протяжения проводов и растяжек; замену осветительной арматуры в отдельных местах, но не более 20 процентов от общего количества арматуры на данной улице в течение года;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замену кабеля местами и участками, но не более 10 процентов от общей протяженности кабеля на данной улице; ежегодное проведение ревизии и ремонт автоматики и телемеханики с заменой деталей, нарушающих нормальную работу аппаратуры, в пределах 5 процентов балансовой стоимости; смену эксплуатируемых фонарей, тросов, растяжек, проводов, коммуникационной аппаратуры в размере, превышающем объемы, 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предусмотренные текущим ремонтом;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замену осветительной арматуры в количествах, превышающих установленные объемы по текущему ремонту, включая замену арматуры устаревших конструкций более совершенными типами; замену кабеля протяженностью, превышающей установленные объемы по текущему ремонту; установку и все виды работ по ремонту и замене реле времени (контактных часов) и фотореле для управления наружным освещением; все виды работ по ремонту средств автоматики и телемеханики по управлению сетями наружного освещения в количестве до 10 процентов в год от стоимости аппаратуры.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3. Состав расходов и определение потребности в денежных средствах на организацию наружного освещения</w:t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затраты на электрическую энергию;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стоимость эксплуатации объектов наружного освещения.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По статье "Затраты на электрическую энергию" отражается стоимость электрической энергии, покупаемой у энергоснабжающих организаций для освещения территорий. Стоимость электрической энергии определяется на основании общей потребности и нерегулируемых тарифов на электрическую энергию, сложившихся в расчетном периоде.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При определении общей планируемой потребности в электрической энергии учитываются следующие основные условия: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мощность светильников с газоразрядными лампами принимается равной номинальной мощности лампы (ламп), установленно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й(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ых) в нем, а также учитываются потери мощности в пускорегулирующем аппарате;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- мощность светильников с лампами накаливания принимается равной номинальной мощности ламп, установленных в них.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Количество часов работы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светильников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в общем и ночном режимах определяется в соответствии с единым графиком работы наружного освещения, представленным в приложении &lt;*&gt;.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&lt;*&gt; Время включения наружного освещения при наступлении вечерних сумерек и время выключения освещения при окончании утренних сумерек согласно единому графику работы наружного освещения может быть скорректировано с учетом географических координат местности и (или) погодных факторов.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Общая планируемая годовая потребность в электрической энергии на организацию наружного освещения W определяется по формуле: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838200" cy="200025"/>
            <wp:effectExtent l="19050" t="0" r="0" b="0"/>
            <wp:docPr id="3" name="Рисунок 3" descr="https://api.docs.cntd.ru/img/42/85/21/38/3/6a9cccc1-4344-4327-a8f4-bc559fbdd545/P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2/85/21/38/3/6a9cccc1-4344-4327-a8f4-bc559fbdd545/P00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1457325" cy="200025"/>
            <wp:effectExtent l="19050" t="0" r="9525" b="0"/>
            <wp:docPr id="4" name="Рисунок 4" descr="https://api.docs.cntd.ru/img/42/85/21/38/3/6a9cccc1-4344-4327-a8f4-bc559fbdd545/P0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2/85/21/38/3/6a9cccc1-4344-4327-a8f4-bc559fbdd545/P00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1457325" cy="200025"/>
            <wp:effectExtent l="19050" t="0" r="9525" b="0"/>
            <wp:docPr id="5" name="Рисунок 5" descr="https://api.docs.cntd.ru/img/42/85/21/38/3/6a9cccc1-4344-4327-a8f4-bc559fbdd545/P00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42/85/21/38/3/6a9cccc1-4344-4327-a8f4-bc559fbdd545/P001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где: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27" type="#_x0000_t75" alt="" style="width:21.7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планируемая годовая потребность в электрической энергии на организацию наружного освещения, работающего в ночном режиме, кВт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.ч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28" type="#_x0000_t75" alt="" style="width:21.7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планируемая годовая потребность в электрической энергии на организацию наружного освещения, работающего в оптимальном режиме, кВт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.ч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29" type="#_x0000_t75" alt="" style="width:12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- средняя номинальная мощность лампы в светильнике с учетом потерь в пускорегулирующей аппаратуре, 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Вт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0" type="#_x0000_t75" alt="" style="width:21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количество светильников на начало принятого расчетного периода, работающих в ночном режиме, ед.;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1" type="#_x0000_t75" alt="" style="width:21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количество светильников на начало принятого расчетного периода, работающих в оптимальном режиме, ед.;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Планируемая стоимость электроэнергии, потребленной объектами наружного освещения, 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2" type="#_x0000_t75" alt="" style="width:15.7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 определяется по формуле: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666750" cy="200025"/>
            <wp:effectExtent l="0" t="0" r="0" b="0"/>
            <wp:docPr id="12" name="Рисунок 12" descr="https://api.docs.cntd.ru/img/42/85/21/38/3/6a9cccc1-4344-4327-a8f4-bc559fbdd545/P00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i.docs.cntd.ru/img/42/85/21/38/3/6a9cccc1-4344-4327-a8f4-bc559fbdd545/P001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где: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3" type="#_x0000_t75" alt="" style="width:15.7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тариф на электроэнергию за 1 кВт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.ч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, сложившийся в расчетном периоде, руб./кВт.ч;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.ч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Стоимость работ по эксплуатации объектов наружного освещения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 (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4" type="#_x0000_t75" alt="" style="width:22.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 xml:space="preserve">) 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определяется в расчете на принятый измеритель. В качестве единицы измерения принимается 1 час работы светоточки.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952500" cy="381000"/>
            <wp:effectExtent l="19050" t="0" r="0" b="0"/>
            <wp:docPr id="15" name="Рисунок 15" descr="https://api.docs.cntd.ru/img/42/85/21/38/3/6a9cccc1-4344-4327-a8f4-bc559fbdd545/P0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i.docs.cntd.ru/img/42/85/21/38/3/6a9cccc1-4344-4327-a8f4-bc559fbdd545/P002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lastRenderedPageBreak/>
        <w:t>где: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5" type="#_x0000_t75" alt="" style="width:23.2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цена (тариф) эксплуатации одной светоточки, руб./час;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6" type="#_x0000_t75" alt="" style="width:21.75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стоимость эксплуатации объектов наружного освещения, руб.;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pict>
          <v:shape id="_x0000_i1037" type="#_x0000_t75" alt="" style="width:21pt;height:15.75pt"/>
        </w:pic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t>- количество светильников, работающих в оптимальном режиме, установленных на территориях муниципальных районов и городских округов на начало принятого расчетного периода, ед.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Приложение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типовой Методике расчета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потребности средств на организацию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наружного освещения населенных</w:t>
      </w: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пунктов на территории Белгородской области</w:t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3727E5" w:rsidRPr="003727E5" w:rsidRDefault="003727E5" w:rsidP="003727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b/>
          <w:bCs/>
          <w:color w:val="444444"/>
          <w:sz w:val="24"/>
          <w:szCs w:val="24"/>
        </w:rPr>
        <w:t> Единый график работы наружного освещения населенных пунктов на территории Белгородской области</w:t>
      </w:r>
    </w:p>
    <w:p w:rsidR="003727E5" w:rsidRPr="003727E5" w:rsidRDefault="003727E5" w:rsidP="003727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(в редакции </w:t>
      </w:r>
      <w:hyperlink r:id="rId18" w:history="1">
        <w:r w:rsidRPr="003727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постановления Правительства Белгородской области от 16.03.2015 N 89-пп</w:t>
        </w:r>
      </w:hyperlink>
      <w:r w:rsidRPr="003727E5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3727E5" w:rsidRPr="003727E5" w:rsidRDefault="003727E5" w:rsidP="003727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Pr="003727E5">
        <w:rPr>
          <w:rFonts w:ascii="Arial" w:eastAsia="Times New Roman" w:hAnsi="Arial" w:cs="Arial"/>
          <w:color w:val="444444"/>
          <w:sz w:val="24"/>
          <w:szCs w:val="24"/>
        </w:rPr>
        <w:br/>
        <w:t>час.</w:t>
      </w:r>
      <w:proofErr w:type="gramStart"/>
      <w:r w:rsidRPr="003727E5">
        <w:rPr>
          <w:rFonts w:ascii="Arial" w:eastAsia="Times New Roman" w:hAnsi="Arial" w:cs="Arial"/>
          <w:color w:val="444444"/>
          <w:sz w:val="24"/>
          <w:szCs w:val="24"/>
        </w:rPr>
        <w:t>:м</w:t>
      </w:r>
      <w:proofErr w:type="gramEnd"/>
      <w:r w:rsidRPr="003727E5">
        <w:rPr>
          <w:rFonts w:ascii="Arial" w:eastAsia="Times New Roman" w:hAnsi="Arial" w:cs="Arial"/>
          <w:color w:val="444444"/>
          <w:sz w:val="24"/>
          <w:szCs w:val="24"/>
        </w:rPr>
        <w:t>ин.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"/>
        <w:gridCol w:w="464"/>
        <w:gridCol w:w="787"/>
        <w:gridCol w:w="773"/>
        <w:gridCol w:w="822"/>
        <w:gridCol w:w="619"/>
        <w:gridCol w:w="773"/>
        <w:gridCol w:w="822"/>
        <w:gridCol w:w="529"/>
        <w:gridCol w:w="773"/>
        <w:gridCol w:w="822"/>
        <w:gridCol w:w="529"/>
        <w:gridCol w:w="619"/>
        <w:gridCol w:w="620"/>
      </w:tblGrid>
      <w:tr w:rsidR="003727E5" w:rsidRPr="003727E5" w:rsidTr="003727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 числа месяца (</w:t>
            </w:r>
            <w:proofErr w:type="gramStart"/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"__" по "__")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режим</w:t>
            </w:r>
          </w:p>
        </w:tc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 режим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режим</w:t>
            </w: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время работы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время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Отключе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л-во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Отключе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л-во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часов в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3975:42</w:t>
            </w: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1865:36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2110:05</w:t>
            </w: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456:17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257:40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198:36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75:55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43:52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75:10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43:07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74:20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73:25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41:22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72:15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40:12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85:12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46:45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369:00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189:36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179:23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69:25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37:22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67:55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35:52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66:25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34:22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64:55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32:52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63:20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37:00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0:59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350:15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151:16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198:58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60:45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28:42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59:05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27:02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57:25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55:50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54:10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63:00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24:51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279:20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109:02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170:17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50:30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48:55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47:20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45:45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44:10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235:07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87:40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147:26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20:2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4:41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41: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20:2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23:3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0:0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20:34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39:50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20:34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38:30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37:15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36:05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13:12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199:30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69:07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130:22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34:10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12:07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33:35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33:05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32:50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32:50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33:00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219:23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75:32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143:50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33:20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34:00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4:10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34: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21:1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23:3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35:30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12:12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36:35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45:18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266:45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100:16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166:28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39:20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14:07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40:40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14:52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3:07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15:37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5:01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43:35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20:08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45:05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20:08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56:00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315:15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130:02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185:12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48:30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3:51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50:05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51:45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53:20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22:07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55:00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4:3</w:t>
            </w: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56:35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24:02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386:13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187:36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198:36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58:10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4:59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59:45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27:42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61:25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29:22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63:00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18:03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64:35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32:32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79:18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5:52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40:51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427:10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234:57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192:12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67:55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35:52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69:20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37:17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70:40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38:37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72:00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39:57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73:05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17:04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41:02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74:10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471:27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272:50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198:36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75:00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7:56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1:56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42:57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0:00 - 6:00</w:t>
            </w: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75:40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43:37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76:10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44:07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76:25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44:22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76:30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44:27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7E5" w:rsidRPr="003727E5" w:rsidTr="003727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91:42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16:59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23:35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2:16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E5">
              <w:rPr>
                <w:rFonts w:ascii="Times New Roman" w:eastAsia="Times New Roman" w:hAnsi="Times New Roman" w:cs="Times New Roman"/>
                <w:sz w:val="24"/>
                <w:szCs w:val="24"/>
              </w:rPr>
              <w:t>53:15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7E5" w:rsidRPr="003727E5" w:rsidRDefault="003727E5" w:rsidP="0037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7E5" w:rsidRPr="003727E5" w:rsidRDefault="003727E5" w:rsidP="003727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727E5" w:rsidRPr="003727E5" w:rsidRDefault="003727E5" w:rsidP="003727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727E5">
        <w:rPr>
          <w:rFonts w:ascii="Arial" w:eastAsia="Times New Roman" w:hAnsi="Arial" w:cs="Arial"/>
          <w:color w:val="444444"/>
          <w:sz w:val="24"/>
          <w:szCs w:val="24"/>
        </w:rPr>
        <w:t>Включение наружного освещения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142C0E" w:rsidRDefault="00142C0E"/>
    <w:sectPr w:rsidR="0014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7E5"/>
    <w:rsid w:val="00142C0E"/>
    <w:rsid w:val="0037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7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27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7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2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7E5"/>
    <w:rPr>
      <w:color w:val="800080"/>
      <w:u w:val="single"/>
    </w:rPr>
  </w:style>
  <w:style w:type="paragraph" w:customStyle="1" w:styleId="topleveltext">
    <w:name w:val="topleveltext"/>
    <w:basedOn w:val="a"/>
    <w:rsid w:val="0037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4079926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s://docs.cntd.ru/document/424079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8658967" TargetMode="External"/><Relationship Id="rId12" Type="http://schemas.openxmlformats.org/officeDocument/2006/relationships/hyperlink" Target="https://docs.cntd.ru/document/424079926" TargetMode="External"/><Relationship Id="rId17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4079926" TargetMode="External"/><Relationship Id="rId11" Type="http://schemas.openxmlformats.org/officeDocument/2006/relationships/hyperlink" Target="https://docs.cntd.ru/document/424079926" TargetMode="External"/><Relationship Id="rId5" Type="http://schemas.openxmlformats.org/officeDocument/2006/relationships/hyperlink" Target="https://docs.cntd.ru/document/428658967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s://docs.cntd.ru/document/42865896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424079926" TargetMode="External"/><Relationship Id="rId9" Type="http://schemas.openxmlformats.org/officeDocument/2006/relationships/hyperlink" Target="https://docs.cntd.ru/document/424079926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3479</Words>
  <Characters>19835</Characters>
  <Application>Microsoft Office Word</Application>
  <DocSecurity>0</DocSecurity>
  <Lines>165</Lines>
  <Paragraphs>46</Paragraphs>
  <ScaleCrop>false</ScaleCrop>
  <Company/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2023-03-28T04:35:00Z</dcterms:created>
  <dcterms:modified xsi:type="dcterms:W3CDTF">2023-03-28T04:36:00Z</dcterms:modified>
</cp:coreProperties>
</file>