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с.Лубяное-Первое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28"/>
          <w:szCs w:val="28"/>
        </w:rPr>
      </w:r>
      <w:r>
        <w:rPr>
          <w:b w:val="0"/>
          <w:sz w:val="18"/>
          <w:szCs w:val="18"/>
        </w:rPr>
      </w:r>
    </w:p>
    <w:p>
      <w:pPr>
        <w:pStyle w:val="92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«28» декабря 2024 года</w:t>
        <w:tab/>
        <w:tab/>
        <w:tab/>
        <w:tab/>
        <w:tab/>
        <w:tab/>
        <w:tab/>
        <w:t xml:space="preserve">№76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8"/>
          <w:szCs w:val="28"/>
        </w:rPr>
      </w:r>
      <w:r>
        <w:rPr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2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бюджете Лубянского сельского поселения</w:t>
      </w:r>
      <w:r/>
    </w:p>
    <w:p>
      <w:pPr>
        <w:pStyle w:val="902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 2025 и плановый период 2026-2027 годов</w:t>
      </w:r>
      <w:r/>
    </w:p>
    <w:p>
      <w:pPr>
        <w:pStyle w:val="902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902"/>
        <w:jc w:val="center"/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муниципального об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разования Лубянское сельское поселение муниципального района «Чернянский район», земское собрание муниципального образования « Лубянское сельское поселение»  муниципального района «Чернянский район»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решило: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Статья 1. Основные характеристики бюджета муниципального образования «Лубянское сельское поселение» на 2025 год и плановый период 2026-2027 годов</w:t>
      </w:r>
      <w:r/>
    </w:p>
    <w:p>
      <w:pPr>
        <w:ind w:left="0" w:right="0" w:firstLine="72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1.Утвердить основные характеристики бюджета муниципального образования Лубянское сельское поселение (далее – бюджет поселения) на 2025 год:</w:t>
      </w:r>
      <w:r/>
    </w:p>
    <w:p>
      <w:pPr>
        <w:ind w:left="0" w:right="0" w:firstLine="72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прогнозируемый общий объем доходов бюджета поселения в сумме 4 432,4 тыс. рублей;</w:t>
      </w:r>
      <w:r/>
    </w:p>
    <w:p>
      <w:pPr>
        <w:ind w:left="0" w:right="0" w:firstLine="72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общий объем расходов бюджета поселения в сумме 4 432,4 тыс. рублей;</w:t>
      </w:r>
      <w:r/>
    </w:p>
    <w:p>
      <w:pPr>
        <w:ind w:left="0" w:right="0" w:firstLine="72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верхний предел муниципального внутреннего долга и (или) верхний предел государственного долга по состоянию на 01.01.2026 года 0,0 рублей, по состоянию на 01.01.2027 года 0,0 рублей, по состоянию на 01.01.2028 года 0,0 рублей.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2.Утвердить основные характеристики бюджета муниципального образования Лубянское сельское поселение (далее – бюджет поселения) на плановый период 2026-2027 годов:</w:t>
      </w:r>
      <w:r/>
    </w:p>
    <w:p>
      <w:pPr>
        <w:ind w:left="0" w:right="0" w:firstLine="72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прогнозируемый общий объем доходов бюджета поселения на 2026 год в сумме 3 258,8 тыс. рублей, на 2027 год – 2 944,1 тыс. рублей;</w:t>
      </w:r>
      <w:r/>
    </w:p>
    <w:p>
      <w:pPr>
        <w:ind w:left="0" w:right="0" w:firstLine="72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общий объем расходов бюджета поселения на 2026 год в сумме 3 258,8 тыс. рублей, в том числе условно утвержденные расходы в сумме 77,0 тыс. рублей, на 2027 год в сумме –2 944,1 тыс. рублей, в том числе условно утвержденные расходы в сумме 138,0 тыс. рублей.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 Статья 2. Нормативы распределения отдельных видов доходов в бюджет поселения на 2025 год и плановый период 2026-2027 годов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Лубянского сельского поселения на 2025 год и планов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ый период 2026-2027 годов согласно приложению 1 к настоящему решению.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 Статья 3. Прогнозируемое поступление доходов в бюджет Лубянского сельского поселения на 2025 год и плановый период 2026 и 2027 годов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Утвердить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2025 год и плановый период 2026 и 2027 годов согласно приложению 2 к насто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ящему решению.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Статья 4. Бюджетные ассигнования бюджета поселения на 2025 год и плановый период 2026-2027 годов.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1.Утвердить распределение бюджетных ассигнований по разделам, подразделам, целевым статьям (муниципальной программе Лубянского сельского поселения и непрограммным направлениям деятельности), группам видов расходов классификации расходов бюджета на 2025 год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плановый период 2026-2027гг согласно приложению 3 к настоящему решению.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2. Утвердить ведомственную структуру расходов поселения на 2025 год и плановый период 2026-2027 годов согласно приложению 4 к настоящему решению.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3. Утвердить распределение бюджетных ассигнований по целевым статьям (муниципальной программе поселения и непрограммным направлениям деятельности Лубянского сельского поселения), группам видом расходов, разделам, подразделам классификации расходов бюджета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 2025 год и плановый период 2026 и 2027 годов согласно приложению 5 к настоящему решению.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Муниципальная программа Лубянского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Обеспечить в 2025 году первоочередное финансирование следующих расходных обязательств: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-оплату труда работникам казенных учреждений;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-оплату жилищно-коммунальных услуг.</w:t>
      </w:r>
      <w:r/>
    </w:p>
    <w:p>
      <w:pPr>
        <w:ind w:left="0" w:right="0" w:firstLine="0"/>
        <w:jc w:val="both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 Статья 5. Межбюджетные трансферты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Утвердить объем межбюджетных трансфертов, получаемых из бюджетов других уровней, на 2025 год в сумме 2 905,4тыс. рублей , на плановый период 2026года в сумме 2 061,8 тыс. рублей, на 2027 год в сумме – 1 708,1 тыс. рублей согласно приложения 6 к настоящему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решению.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 Статья 6. Резервный фонд администрации Лубянского сельского поселения.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Установить размер резервного фонда администрации Лубянского сельского поселения на 2025 год в сумме 30,0 тыс. рублей, на 2026 год - в сумме – 30,0 тыс.рублей, на 2027 год – 30,0 тыс. рублей.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  Статья7. Источники внутреннего финансирования дефицита бюджета Лубянского сельского поселения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Утвердить источники внутреннего финансирования дефицита бюджета Лубянского сельского поселения на 2025 год и плановый период 2026-2027 гг. согласно приложению 7 к настоящему решению.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    Статья8. Особенности организации исполнения бюджета поселения в 2025 году и плановом периоде 2026-2027годов.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1.Установить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поселения без внесения изменений в настоящее решение: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на выполнение обязательств по обеспечению необходимого уровня софинансирования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  <w:r/>
    </w:p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ющим законодательством.</w:t>
      </w:r>
      <w:r/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2.Неиспользованные по состоянию на 1 января 2025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ветствии с действующим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законодательством</w:t>
      </w:r>
      <w:r>
        <w:rPr>
          <w:szCs w:val="28"/>
        </w:rPr>
      </w:r>
      <w:r>
        <w:rPr>
          <w:szCs w:val="28"/>
        </w:rPr>
      </w:r>
    </w:p>
    <w:p>
      <w:pPr>
        <w:ind w:left="-142" w:right="0" w:firstLine="0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Статья 9. Вступление в силу настоящего решения.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Настоящее решение вступает в силу с 1 января 2025 года.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Статья 10. Опубликование настоящего решения.</w:t>
      </w:r>
      <w:r>
        <w:rPr>
          <w:szCs w:val="28"/>
        </w:rPr>
      </w:r>
      <w:r>
        <w:rPr>
          <w:szCs w:val="28"/>
        </w:rPr>
      </w:r>
    </w:p>
    <w:p>
      <w:pPr>
        <w:pStyle w:val="924"/>
        <w:ind w:left="0" w:right="0" w:firstLine="0"/>
        <w:jc w:val="both"/>
        <w:spacing w:before="0" w:after="0" w:line="240" w:lineRule="auto"/>
      </w:pPr>
      <w:r>
        <w:rPr>
          <w:i w:val="0"/>
          <w:highlight w:val="none"/>
        </w:rPr>
        <w:t xml:space="preserve">       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в информационно-телекоммуникационой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i w:val="0"/>
          <w:highlight w:val="none"/>
        </w:rPr>
        <w:t xml:space="preserve">.gosweb.gosuslugi.ru) в порядке, предусмотренном Уставом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2. 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Лубянского </w:t>
      </w:r>
      <w:r>
        <w:rPr>
          <w:i w:val="0"/>
          <w:highlight w:val="none"/>
        </w:rPr>
        <w:t xml:space="preserve">сельского поселения (В.Н. Гончарова)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 Лубянского </w:t>
      </w:r>
      <w:r>
        <w:rPr>
          <w:b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М.М. Потапова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Лубянского сельского поселения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               от « 28 » декабря 2024 года №76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-23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Нормативы распределения отдельных видов налоговых и неналоговых</w:t>
      </w:r>
      <w:r/>
    </w:p>
    <w:p>
      <w:pPr>
        <w:ind w:left="0" w:right="-23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поступлений в бюджет поселения, утверждаемые решением земского</w:t>
      </w:r>
      <w:r/>
    </w:p>
    <w:p>
      <w:pPr>
        <w:ind w:left="0" w:right="-23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собрания о бюджете Лубянского сельского поселения на 2025 год и плановый период 2026-2027 годов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 </w:t>
      </w:r>
      <w:r/>
    </w:p>
    <w:p>
      <w:pPr>
        <w:ind w:left="0" w:right="-23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(процентов)</w:t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895"/>
        <w:gridCol w:w="4206"/>
        <w:gridCol w:w="224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Бюджеты сельских поселений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</w:t>
            </w:r>
            <w:r/>
          </w:p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</w:t>
            </w:r>
            <w:r/>
          </w:p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3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1 09 04000 00 0000 110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имущество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1 09 04053 10 0000 110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Земельный налог</w:t>
            </w:r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(по обязательствам, возникшим до 1 января 2006 года), мобилизуемый на территориях сельских поселений</w:t>
            </w:r>
            <w:r/>
          </w:p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  <w:p>
            <w:pPr>
              <w:pStyle w:val="902"/>
              <w:jc w:val="center"/>
            </w:pPr>
            <w:r/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3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 части доходов от оказания платных услуг и компенсации затрат государства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1 13 01995 10 0000 130 </w:t>
            </w:r>
            <w:r/>
          </w:p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  <w:p>
            <w:pPr>
              <w:pStyle w:val="902"/>
              <w:jc w:val="center"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1 13 02995 10 0000 130 </w:t>
            </w:r>
            <w:r/>
          </w:p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доходы от компенсации затрат бюджетов сельских поселений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3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 части доходов от продажи материальных и нематериальных активов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1 14 03050 10 0000 410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3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 части административных платежей и сборов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1 15 02050 10 0000 140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Платежи, взимаемые органами управления (организациями) сельских поселений за выполнение определенных функций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</w:tc>
      </w:tr>
      <w:tr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93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 части прочих неналоговых доходов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1 17 01050 10 0000 180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Невыясненные поступления, зачисляемые в бюджеты сельских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895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1 17 05050 10 0000 180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4206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неналоговые доходы бюджетов сельских поселений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0" w:type="dxa"/>
              <w:top w:w="0" w:type="dxa"/>
              <w:right w:w="40" w:type="dxa"/>
              <w:bottom w:w="0" w:type="dxa"/>
            </w:tcMar>
            <w:tcW w:w="224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</w:tc>
      </w:tr>
    </w:tbl>
    <w:p>
      <w:pPr>
        <w:ind w:left="0" w:right="0" w:firstLine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сборов. 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2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Лубянского сельского поселения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«28» декабря 2024 года №76 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Прогнозируемое поступления доходов в бюджет Лубянского сельского поселения на 2025 год и плановый период 2026 - 2027 г.г.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/тыс.рублей/</w:t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3260"/>
        <w:gridCol w:w="1276"/>
        <w:gridCol w:w="1134"/>
        <w:gridCol w:w="1134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2027 год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1 00 00000 00 0000 000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1527,0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1197,0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1236,0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1 01 00000 00 0000 000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прибыль,доходы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214,0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1 01 02010 01 0000 110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Налог на доходы физических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214,0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1 05 00000 00 0000 000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совокупный доход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108,0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1 05 03010 01 0000 110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Единый сельскохозяйственный налог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1 06 00000 00 0000 000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Налоги на имущество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865,0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883,0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902,0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1 06 01030 10 0000 110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Налог на имущество физических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49,0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1 06 06033 10 0000 110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Земельный налог с органи-заций, обладающих земель-ным участком, расположен-ным в границах сельских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1 06 06043 10 0000 110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Земельный налог с физичес-ких лиц, обладающих земельным участком, расположенным в границах сельских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1 11 00000 00 0000 000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Доходы от имущества, находящегося в муници-пальной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1 11 05075 10 0000 120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Итого собственных доходов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1527,0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1197,0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1236,0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2 00 00000 00 0000 000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Безвозмездные перечисле-ния из бюджетов других уровней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2905,4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2061,8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1708,1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2 02 16001 10 0000 150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Дотации бюджетам сельских поселений на выравнивание уровня бюджетной обеспеченности из бюджетов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2741,3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1883,0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1523,0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2 02 35118 10 0000 150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Субвенции бюджетам сель-ских поселений на осуще-ствление полномочий по первичному воинскому учету на территориях, где отсутст-вуют военные комиссариаты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 ДОХОДОВ ПО БЮДЖЕТУ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4432,4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3258,8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2944,1</w:t>
            </w:r>
            <w:r/>
          </w:p>
        </w:tc>
      </w:tr>
    </w:tbl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3 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Лубянского сельского поселения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«28» декабря 2024 года №76 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892"/>
        <w:gridCol w:w="731"/>
        <w:gridCol w:w="73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2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          Распределение бюджетных ассигнований по разделам и подразделам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92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                 целевым статьям и видам расходов классификации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1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расходов бюджета Лубянского сельского поселения</w:t>
            </w:r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на 2025 год и плановый период 2026-2027 г.г.</w:t>
            </w:r>
            <w:r/>
          </w:p>
        </w:tc>
      </w:tr>
    </w:tbl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(тыс. рублей)</w:t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611"/>
        <w:gridCol w:w="443"/>
        <w:gridCol w:w="712"/>
        <w:gridCol w:w="1200"/>
        <w:gridCol w:w="678"/>
        <w:gridCol w:w="797"/>
        <w:gridCol w:w="797"/>
        <w:gridCol w:w="79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Раз-дел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Вид расхо-дов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top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2027 год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2719,0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1718,0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1718,0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Функционирование Правительства Рос-сийской Федерации, высших исполни-тельных органов государственной власти субъектов Российской Феде-рации,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2689,0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2689,0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2689,0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муниципаль-ных образований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1353,0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855,0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855,0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314,0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обязатель-ному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Закупки товаров, работ, услуг в сфере информа-ционно-коммуника-ционных технологий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152,0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239,0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прочих налогов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выплаты персоналу государст-венных (муниципаль-ных) органов, за исключением фонда оплаты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обязатель-ному социальному страхованию на выпла-ты денежного содержа-ния и иные выплаты работникам государст-венных (муниципаль-ных)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Резервные фонды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Резервный фонд по осуществлению прочих расходов в рамках непрограм-мных расходов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9990020550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9990020550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Резервные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9990020550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Национальная оборона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Мобилизационная и вневойсковая подготовка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164,2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164,2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126,1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Благоустройство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Муниципальная программа «Устойчивое развитие сельских территорий Лубянского сельского поселения Чернянско-го района Белгород-ской области»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процессных мероприятий «Реализация мероприятий по благоустройству территории Лубянского сельского поселения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Благоустройство населенных пунктов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11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2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0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8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4432,4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3181,8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2806,1</w:t>
            </w:r>
            <w:r/>
          </w:p>
        </w:tc>
      </w:tr>
    </w:tbl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4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Лубянского сельского поселения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«28» декабря 2024 года №76 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Ведомственная структура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расходов бюджета Лубянского сельского поселения</w:t>
            </w:r>
            <w:r/>
          </w:p>
          <w:p>
            <w:pPr>
              <w:ind w:left="0" w:right="0" w:firstLine="0"/>
              <w:jc w:val="center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на 2025 год и плановый период 2026-2027 г.г.</w:t>
            </w:r>
            <w:r/>
          </w:p>
        </w:tc>
      </w:tr>
    </w:tbl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(тыс. рублей)</w:t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944"/>
        <w:gridCol w:w="903"/>
        <w:gridCol w:w="656"/>
        <w:gridCol w:w="1134"/>
        <w:gridCol w:w="850"/>
        <w:gridCol w:w="992"/>
        <w:gridCol w:w="992"/>
        <w:gridCol w:w="959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Ведомство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Раз-дел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Вид расхо-дов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2027 год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4425,5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3175,2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2799,5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Администрация Лубянского сель-ского поселения муниципального района "Чернян-ский район" Белгородской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4425,5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3175,2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2799,5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Общегосударствен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ные вопросы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2719,0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1718,0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1718,0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2689,0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2689,0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2689,0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1688,0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1353,0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855,0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855,0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409,0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314,0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411,0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152,0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239,0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239,0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Уплата прочих налогов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9990090019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1336,0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833,0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800,0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640,0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  <w:p>
            <w:pPr>
              <w:pStyle w:val="902"/>
            </w:pPr>
            <w:r/>
            <w:r/>
          </w:p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640,0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294,0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9990000410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242,0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193,0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Резервные фонды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Резервный фонд по осуществлению прочих расходов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9990020550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бюджетные ассигнования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9990020550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Резервные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9990020550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Национальная оборона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Мобилизационная и вневойсковая подготовка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Непрограммные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Иные непрограммные мероприятия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164,2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выплату персоналу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140,2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164,2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107,7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126,1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36,6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9990051180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Благоустройство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Муниципальная программа «Устойчивое развитие сельских территорий Лубянского сельского поселения»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Комплекс процессных мероприятий «Реализация мероприятий по благоустройству территории Лубянского сельского поселения»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Благоустройство населенных пунктов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2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03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6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0140120010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1549,3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1285,0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59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903,0</w:t>
            </w:r>
            <w:r/>
          </w:p>
        </w:tc>
      </w:tr>
    </w:tbl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5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Лубянского сельского поселения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«28» декабря 2024 года №76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2025 год и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плановый период 2026-2027 г.г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тыс.рублей</w:t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082"/>
        <w:gridCol w:w="575"/>
        <w:gridCol w:w="459"/>
        <w:gridCol w:w="718"/>
        <w:gridCol w:w="1134"/>
        <w:gridCol w:w="1134"/>
        <w:gridCol w:w="127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ЦСР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Вр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Рз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Пр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Сумма 2025 год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Сумма 2026 год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Сумма 2027 год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Лубянского сельского поселения Чернянского района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1549,3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1285,0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903,0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1549,3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1285,0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903,0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Лубянского сельского поселения»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01401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1549,3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1285,0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903,0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Благоустройство территории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0140120010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1549,3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1285,0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903,0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99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2883,1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1896,8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1903,1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2883,1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1896,8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1903,1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566,0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409,00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409,00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699,0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411,0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411,0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88,0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35,0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35,0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9990000410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1336,0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833,0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833,0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9990020550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140,2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157,9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164,2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23,9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20,9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20,9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ВСЕГО РАСХОДОВ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2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9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18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4432,4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3181,8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902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2806,1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</w:tr>
    </w:tbl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6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Лубянского сельского поселения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«28» декабря 2024 года №76 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02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Объем межбюджетных трансфертов Лубянского сельского поселения, получаемых из других уровней бюджетной системы Российской Федерации</w:t>
      </w:r>
      <w:r/>
    </w:p>
    <w:p>
      <w:pPr>
        <w:pStyle w:val="902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 2025 год и плановый период 2026-2027 г.г.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 тыс. рублей) </w:t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3260"/>
        <w:gridCol w:w="996"/>
        <w:gridCol w:w="988"/>
        <w:gridCol w:w="992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Наименование показателей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 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 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Сумма 2027 год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000 2 00 00000 00 0000 000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БЕЗВОЗМЕЗДНЫЕ ПОСТУПЛЕНИЯ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2905,4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2061,8</w:t>
            </w:r>
            <w:r/>
          </w:p>
          <w:p>
            <w:pPr>
              <w:pStyle w:val="902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1708,1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908 2 02 10000 00 0000 150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Дотации бюджетам субъектов РФ и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2741,3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1883,0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1523,0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908 2 02 16001 10 0000 150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Дотации бюджетам сельских поселений на выравнивание уровня бюджетной обеспеченности из бюджетов муниципальных районов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2741,3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1883,0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1523,0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908 2 02 30000 00 0000 150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</w:rPr>
              <w:t xml:space="preserve">Субвенции бюджетам субъектов РФ и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185,1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4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908 2 02 35118 10 0000 150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0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6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164,1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8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178,8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185,1</w:t>
            </w:r>
            <w:r/>
          </w:p>
        </w:tc>
      </w:tr>
    </w:tbl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73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46"/>
        <w:gridCol w:w="3032"/>
        <w:gridCol w:w="1417"/>
        <w:gridCol w:w="1276"/>
        <w:gridCol w:w="1467"/>
        <w:gridCol w:w="57"/>
        <w:gridCol w:w="36"/>
        <w:gridCol w:w="21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4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84" w:type="dxa"/>
            <w:vAlign w:val="bottom"/>
            <w:vMerge w:val="restart"/>
            <w:textDirection w:val="lrTb"/>
            <w:noWrap w:val="false"/>
          </w:tcPr>
          <w:p>
            <w:pPr>
              <w:pStyle w:val="902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Приложение №7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pStyle w:val="90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 решению земского собрания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902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Лубянского сельского поселения</w:t>
            </w:r>
            <w:r/>
          </w:p>
          <w:p>
            <w:pPr>
              <w:pStyle w:val="902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 «28» декабря 2024 года №76 </w:t>
            </w:r>
            <w:r/>
          </w:p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4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84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40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3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Источники внутреннего финансирования дефицита бюджета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930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Лубянского сельского поселения в 2025 году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8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70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и плановый период 2026-2027 г.г.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4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32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/тыс.руб./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line="42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303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902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2025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 2026 год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Сумма</w:t>
            </w:r>
            <w:r/>
          </w:p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2027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Всего источников финансирования дефицита бюджета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303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000 900 00 00 00 00 000000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Изменение остатков средств на счетах по учету средств бюджета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303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908 01 05 00 00 00 00 00000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0,0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из них: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3032" w:type="dxa"/>
            <w:vAlign w:val="center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Увеличение прочих остатков денежных средств бюджета сельского 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303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908 01 05 02 01 10 0000 510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-4432,4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-3258,8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-2944,1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54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Уменьшение прочих остатков денежных средств бюджета сельского 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3032" w:type="dxa"/>
            <w:vAlign w:val="bottom"/>
            <w:textDirection w:val="lrTb"/>
            <w:noWrap w:val="false"/>
          </w:tcPr>
          <w:p>
            <w:pPr>
              <w:pStyle w:val="902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908 01 05 02 01 10 0000 610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4432,4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3258,8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108" w:type="dxa"/>
              <w:bottom w:w="0" w:type="dxa"/>
            </w:tcMar>
            <w:tcW w:w="1467" w:type="dxa"/>
            <w:vAlign w:val="bottom"/>
            <w:textDirection w:val="lrTb"/>
            <w:noWrap w:val="false"/>
          </w:tcPr>
          <w:p>
            <w:pPr>
              <w:pStyle w:val="902"/>
              <w:jc w:val="center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2944,1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" w:type="dxa"/>
            <w:vAlign w:val="top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</w:tbl>
    <w:p>
      <w:pPr>
        <w:pStyle w:val="902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02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02"/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ПОЯСНИТЕЛЬНАЯ ЗАПИСКА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 бюджету муниципального образования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«Лубянское сельское поселение»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на 2025 год и плановый период 2026 – 2027 гг.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Бюджет муниципального образования «Лубянское сельское поселение» на 2025 год и плановый период 2026-2027 гг. сформирован на основе социально-экономического прогноза развития поселения на 2025 год и плановый период 2026-2027 гг., действующего налогового зак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онодательства, Бюджетного Кодекса РФ, проекта Закона Белгородской области «Об областном бюджете на 2025 год и плановый период 2026-2027 гг.» и проекта решения Муниципального совета Чернянского района «О Чернянском районном бюджете на 2025 год и плановый 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риод 2026-2027 гг.».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доходов бюджета поселения на 2025 год и плановый период 2026-2027 гг. осуществлено на базе прогнозных разработок администраторов бюджетного планирования. При расчете доходов бюджета поселения использованы данные УФНС России по Белгородской обл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ходе разработки прогноза учитывались меры, направленные на стабилизацию экономики и социальную поддержку населения.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Бюджет муниципального образования «Лубянское сельское поселение» на 2025 год по доходам прогнозируется в сумме 4 432,4 тыс. рублей, в том числе собственные доходы в сумме 1 527,0 тыс. 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Бюджет муниципального образования «Лубянское сельское поселение» на плановый период 2026 г. по доходам прогнозируется в сумме 3 258,8 тыс.рублей, в 2027г – 2 944,1 тыс.рублей, в том числе собственные доходы в 2026г. в сумме 1 197,0 тыс. рублей и в 2027г.-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1 236,0 тыс.рублей.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Прогнозируемые объемы доходов бюджета сельского поселения в 2025 году и в планируемом периоде 2026-2027 гг. определены на базе отчетных данных о фактических поступлениях за 10 месяцев текущего года, отчетных данных налоговых органов о базе налогообложения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2023 год и 1 полугодие 2024 года.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основу расчетов принято ожидаемое поступление налогов и сборов в 2024 году, определенное на базе фактически сложившихся удельных весов за предыдущие годы.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Основным источником пополнения бюджета поселения в 2025 году станет земельный налог – 820,0 тыс. руб., или 53,7 % от суммы собственных доходов бюджета поселения в 2025 году, в плановом периоде в 2026 году он составит 836,0 тыс. рублей, или 69,8 %, а в 2027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году – 853,0 тыс. рублей, или 69,0 % от суммы собственных доходов бюджета поселения в 2026-2027 гг. Согласно федерального законодательства норматив зачисления земельного налога в 2025 году и в планируемом периоде 2026 – 2027 гг. – 100,0 % в бюджет сельско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 поселения по всем категориям земель. Суммы земельного налога на 2025 год и плановый период 2026-2027 гг. определены с учетом положений Налогового Кодекса Российской Федерации, главы 31 «Земельный налог», то есть с учетом кадастровой стоимости земель 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Согласно действующего законодательства в 2025 году и плановый период 2026 – 2027 гг. планируется поступление налога на имущество физических лиц за 2024 год, 2025 год и 2026 год. Прогноз осуществлен на основе кадастровой стоимости по состоянию на 1 января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025 года, а также с учетом полного погашения сумм недоимки, возможной к взысканию и составляет 45,0 тыс. рублей или 2,9 % от собственных доходов, на 1 января 2026 года, а также с учетом полного погашения сумм недоимки, возможной к взысканию и составляет 47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,0 тыс. рублей или 3,9 % от собственных доходов, а на 1 января 2027 года, а также с учетом полного погашения сумм недоимки, возможной к взысканию и составляет 49,0 тыс. рублей или 4,0 % от собственных доходов.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Наименьший удельный вес в структуре налоговых доходов составит налог на доходы физических лиц (норматив зачисления в бюджет поселения – 2 процента), который в 2025 году прогнозируется в сумме 550,0 тыс. рублей или 36,0 % от собственных доходов, в 2026 году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он составит 198,0 тыс. руб. или 16,5 %, а в 2027 году – 214,0 тыс. руб. или 17,3 %. 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Объем прогнозируемого налога на 2025 год и плановый период 2026-2027 гг. определяется с учетом роста фонда оплаты труда.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center"/>
        <w:spacing w:line="57" w:lineRule="atLeast"/>
        <w:shd w:val="clear" w:color="ffffff" w:fill="ffff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Расходы бюджета Лубянского сельского поселения на 2025 год и плановый период 2026 и 2027 годов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shd w:val="clear" w:color="ffffff" w:fill="ffff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Бюджет муниципального образования «Лубянское сельское поселение» на 2025 год по расходам сформирован в сумме 4 432,4 тыс. 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shd w:val="clear" w:color="ffffff" w:fill="ffff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Бюджет муниципального образования «Лубянское сельское поселение» на плановый период 2026-2027 гг. по расходам сформирован в сумме: на 2026 год в сумме 3 258,8 тыс. рублей, в том числе условно утвержденные расходы в сумме 77,0 тыс. рублей; на 2027 год в сум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 – 2 944,1 тыс. рублей, в том числе условно утвержденные расходы в сумме 138,0 тыс. 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Объем расходов муниципального образования «Лубянское сельское поселение», направленный на обеспечение оплаты труда с начислениями всех категорий работников бюджетной сферы на 2025 год составит – 2 066,1 тыс. рублей. В плановом периоде 2026- 2027 гг. – он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оставит - 1 399,9 тыс. рублей, 1 406,2 тыс. 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 xml:space="preserve">Раздел 01 00 «Общегосударственные вопросы»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Непрограммные расходы на обеспечение функций органов местного самоуправления по функционированию представительных органов муниципальных образований Лубянское сельское поселение в 2025 году предусмотрены в сумме 2689,0 тыс. руб., в том числе на оплату труда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 начислениями 1902,0 тыс. руб. Расходы на обеспечение деятельности составят 699,0 тыс. руб., на уплату налогов - 88,0 тыс.руб. Непрограммные расходы на плановый период 2026- 2027 гг. в бюджете муниципального образования «Лубянское сельское поселение»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денежное содержание и обеспечение деятельности работников органов управления предусмотрены в 2026 году в сумме 1688,0 тыс.руб., в том числе на оплату труда с начислениями 1242,0 тыс. руб., расходы на обеспечение деятельности составят 411,0 тыс. руб., на уп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лату налогов – 35,0 тыс. руб., в 2027 году в сумме 1688,0 тыс.руб., в том числе на оплату труда с начислениями 1242,0 тыс. руб., расходы на обеспечение деятельности составят 411,0 тыс. руб., на уплату налогов – 35,0 тыс. руб.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Непрограммные расходы на резервный фонд по осуществлению прочих расходов в бюджете муниципального образования «Лубянское сельское поселение» в 2025 году и в плановом периоде 2026 – 2027 гг.- составляет по 30,0 тыс.рублей.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 xml:space="preserve">Раздел 02 00 «Национальная оборона»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Расходы на осуществление полномочий по первичному воинскому учету на территориях, где отсутствуют военные комиссариаты за счет субвенций из Федерального бюджета в 2025 году фонда компенсаций составят – 164,1 тыс. рублей. В плановом периоде 2026 года расход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 составят – 178,8 тыс. рублей., в 2027 году – 185,1 тыс. 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567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 xml:space="preserve">Раздел 05 00 «Жилищно -коммунальное хозяйство»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Расходы на благоустройство населенных пунктов в рамках комплекса процессных мероприятий «Реализация мероприятий по благоустройству территории Лубянского сельского поселения» муниципальной программы «Устойчивое развитие сельских территорий Лубянского сельск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 поселения» в 2025 году составит 1549,3 тыс. рублей и плановом периоде 2026 году – 1285,0 тыс. рублей, в 2027 году составят – 903,0 тыс. рублей.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Глава администрации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both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Лубянского сельского поселения                                  В.Н. Гончарова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line="57" w:lineRule="atLeast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24"/>
        <w:ind w:firstLine="0"/>
        <w:spacing w:before="0" w:after="0"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41</cp:revision>
  <dcterms:modified xsi:type="dcterms:W3CDTF">2025-01-09T06:45:59Z</dcterms:modified>
</cp:coreProperties>
</file>