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</w:p>
    <w:p>
      <w:pPr>
        <w:pStyle w:val="70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</w:p>
    <w:p>
      <w:pPr>
        <w:pStyle w:val="70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Изображение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pStyle w:val="70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</w:p>
    <w:p>
      <w:pPr>
        <w:pStyle w:val="70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ЛУБЯНСКОГО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</w:p>
    <w:p>
      <w:pPr>
        <w:pStyle w:val="70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</w:p>
    <w:p>
      <w:pPr>
        <w:pStyle w:val="70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709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8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</w:p>
    <w:p>
      <w:pPr>
        <w:pStyle w:val="708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Лубяное-Первое</w:t>
      </w:r>
      <w:r>
        <w:rPr>
          <w:b/>
          <w:color w:val="000000"/>
          <w:sz w:val="20"/>
          <w:szCs w:val="20"/>
        </w:rPr>
      </w:r>
    </w:p>
    <w:p>
      <w:pPr>
        <w:pStyle w:val="708"/>
        <w:ind w:firstLine="0"/>
        <w:jc w:val="center"/>
        <w:spacing w:before="0" w:after="0" w:line="240" w:lineRule="auto"/>
        <w:rPr>
          <w:b w:val="0"/>
          <w:sz w:val="12"/>
          <w:szCs w:val="12"/>
        </w:rPr>
      </w:pPr>
      <w:r>
        <w:rPr>
          <w:b w:val="0"/>
          <w:sz w:val="12"/>
          <w:szCs w:val="12"/>
        </w:rPr>
      </w:r>
      <w:r>
        <w:rPr>
          <w:b w:val="0"/>
          <w:sz w:val="12"/>
          <w:szCs w:val="12"/>
        </w:rPr>
      </w:r>
    </w:p>
    <w:p>
      <w:pPr>
        <w:pStyle w:val="708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708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«28» декабря  2023 года</w:t>
        <w:tab/>
        <w:tab/>
        <w:tab/>
        <w:tab/>
        <w:tab/>
        <w:tab/>
        <w:t xml:space="preserve"> №  </w:t>
      </w:r>
      <w:r>
        <w:rPr>
          <w:b/>
          <w:sz w:val="28"/>
          <w:szCs w:val="28"/>
        </w:rPr>
        <w:t xml:space="preserve">21</w:t>
      </w:r>
      <w:r>
        <w:rPr>
          <w:sz w:val="28"/>
          <w:szCs w:val="28"/>
        </w:rPr>
      </w:r>
    </w:p>
    <w:p>
      <w:pPr>
        <w:pStyle w:val="708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left="0" w:right="0" w:firstLine="0"/>
        <w:jc w:val="center"/>
        <w:spacing w:before="0" w:after="0" w:line="240" w:lineRule="auto"/>
        <w:rPr>
          <w:b/>
          <w:color w:val="auto"/>
        </w:rPr>
      </w:pPr>
      <w:r>
        <w:rPr>
          <w:b/>
          <w:color w:val="auto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</w:t>
      </w:r>
      <w:r>
        <w:rPr>
          <w:b/>
          <w:color w:val="auto"/>
        </w:rPr>
        <w:t xml:space="preserve">туры народов Российской Федерации, проживающих на территории Лубянского  сельского поселения муниципального района «Чернянский район» Белгородской области, социальную и культурную адаптацию мигрантов, профилактику межнациональных (межэтнических) конфликтов</w:t>
      </w:r>
      <w:r>
        <w:rPr>
          <w:b/>
          <w:color w:val="auto"/>
        </w:rPr>
      </w:r>
    </w:p>
    <w:p>
      <w:pPr>
        <w:pStyle w:val="708"/>
        <w:ind w:left="0" w:right="0" w:firstLine="0"/>
        <w:jc w:val="center"/>
        <w:spacing w:before="0" w:after="0" w:line="240" w:lineRule="auto"/>
        <w:rPr>
          <w:b/>
          <w:color w:val="auto"/>
        </w:rPr>
      </w:pPr>
      <w:r>
        <w:rPr>
          <w:b/>
          <w:color w:val="auto"/>
        </w:rPr>
      </w:r>
      <w:r>
        <w:rPr>
          <w:b/>
          <w:color w:val="auto"/>
        </w:rPr>
      </w:r>
    </w:p>
    <w:p>
      <w:pPr>
        <w:pStyle w:val="708"/>
        <w:ind w:left="0" w:right="0" w:firstLine="0"/>
        <w:jc w:val="center"/>
        <w:spacing w:before="0" w:after="0" w:line="240" w:lineRule="auto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</w:p>
    <w:p>
      <w:pPr>
        <w:pStyle w:val="708"/>
        <w:ind w:left="0" w:right="0" w:firstLine="709"/>
        <w:jc w:val="both"/>
        <w:spacing w:before="0" w:after="0" w:line="240" w:lineRule="auto"/>
        <w:rPr>
          <w:b w:val="0"/>
          <w:i w:val="0"/>
          <w:highlight w:val="none"/>
        </w:rPr>
      </w:pPr>
      <w:r>
        <w:rPr>
          <w:b w:val="0"/>
          <w:i w:val="0"/>
        </w:rPr>
        <w:t xml:space="preserve">В соответствии с Федеральном законом от 06.10.2003 г. №131-ФЗ «Об общих принципах организации местн</w:t>
      </w:r>
      <w:r>
        <w:rPr>
          <w:b w:val="0"/>
          <w:i w:val="0"/>
        </w:rPr>
        <w:t xml:space="preserve">ого самоуправления в Российской Федерации», Уставом Лубянского  сельского поселения муниципального района «Чернянский район» Белгородской области земское собрание Лубянского сельского поселения муниципального района «Чернянский район» Белгородской области </w:t>
      </w:r>
      <w:r>
        <w:rPr>
          <w:b/>
          <w:i w:val="0"/>
        </w:rPr>
        <w:t xml:space="preserve">решило:</w:t>
      </w:r>
      <w:r>
        <w:rPr>
          <w:b w:val="0"/>
          <w:i w:val="0"/>
          <w:highlight w:val="none"/>
        </w:rPr>
      </w:r>
    </w:p>
    <w:p>
      <w:pPr>
        <w:pStyle w:val="708"/>
        <w:ind w:left="0" w:right="0" w:firstLine="709"/>
        <w:jc w:val="both"/>
        <w:spacing w:before="0" w:after="0" w:line="240" w:lineRule="auto"/>
        <w:rPr>
          <w:i w:val="0"/>
        </w:rPr>
      </w:pPr>
      <w:r>
        <w:rPr>
          <w:i w:val="0"/>
        </w:rP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>
        <w:rPr>
          <w:b w:val="0"/>
          <w:i w:val="0"/>
        </w:rPr>
        <w:t xml:space="preserve">Лубянского</w:t>
      </w:r>
      <w:r>
        <w:rPr>
          <w:i w:val="0"/>
        </w:rPr>
        <w:t xml:space="preserve"> сельского поселения муниципального района «Чернянский район» Белгородской области, социальную и культурную адаптацию мигрантов, профилактику межнациональных (межэтнических) конфликтов (прилагается).</w:t>
      </w:r>
      <w:r>
        <w:rPr>
          <w:i w:val="0"/>
        </w:rPr>
      </w:r>
    </w:p>
    <w:p>
      <w:pPr>
        <w:pStyle w:val="708"/>
        <w:ind w:left="0" w:right="0" w:firstLine="709"/>
        <w:spacing w:before="0" w:after="0" w:line="240" w:lineRule="auto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2. Обнародовать настоящее решение в порядке, предусмотренном Уставом </w:t>
      </w:r>
      <w:r>
        <w:rPr>
          <w:b w:val="0"/>
          <w:i w:val="0"/>
          <w:sz w:val="28"/>
          <w:szCs w:val="28"/>
        </w:rPr>
        <w:t xml:space="preserve">Лубянского</w:t>
      </w:r>
      <w:r>
        <w:rPr>
          <w:i w:val="0"/>
          <w:color w:val="000000" w:themeColor="text1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сельского поселения и разместить на официальном сайте органов местного самоуправления </w:t>
      </w:r>
      <w:r>
        <w:rPr>
          <w:b w:val="0"/>
          <w:i w:val="0"/>
          <w:sz w:val="28"/>
          <w:szCs w:val="28"/>
        </w:rPr>
        <w:t xml:space="preserve">Лубянского</w:t>
      </w:r>
      <w:r>
        <w:rPr>
          <w:i w:val="0"/>
          <w:sz w:val="28"/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>
        <w:rPr>
          <w:rFonts w:eastAsia="Times New Roman" w:cs="Times New Roman"/>
          <w:b w:val="0"/>
          <w:i w:val="0"/>
          <w:color w:val="000000"/>
          <w:sz w:val="28"/>
          <w:szCs w:val="28"/>
        </w:rPr>
        <w:t xml:space="preserve">http</w:t>
      </w:r>
      <w:r>
        <w:rPr>
          <w:rFonts w:eastAsia="Times New Roman" w:cs="Times New Roman"/>
          <w:b w:val="0"/>
          <w:i w:val="0"/>
          <w:color w:val="000000"/>
          <w:sz w:val="28"/>
          <w:szCs w:val="28"/>
          <w:lang w:val="en-US"/>
        </w:rPr>
        <w:t xml:space="preserve">s</w:t>
      </w:r>
      <w:r>
        <w:rPr>
          <w:rFonts w:eastAsia="Times New Roman" w:cs="Times New Roman"/>
          <w:b w:val="0"/>
          <w:i w:val="0"/>
          <w:color w:val="000000"/>
          <w:sz w:val="28"/>
          <w:szCs w:val="28"/>
        </w:rPr>
        <w:t xml:space="preserve">://www.lubyanoepervoe-r31.gosweb.gosuslugi.ru</w:t>
      </w:r>
      <w:r>
        <w:rPr>
          <w:i w:val="0"/>
          <w:sz w:val="28"/>
          <w:szCs w:val="28"/>
        </w:rPr>
        <w:t xml:space="preserve">).</w:t>
      </w:r>
      <w:r>
        <w:rPr>
          <w:i w:val="0"/>
          <w:sz w:val="28"/>
          <w:szCs w:val="28"/>
          <w:highlight w:val="none"/>
        </w:rPr>
      </w:r>
    </w:p>
    <w:p>
      <w:pPr>
        <w:pStyle w:val="708"/>
        <w:ind w:left="0" w:right="0" w:firstLine="709"/>
        <w:spacing w:before="0" w:after="0" w:line="240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Контроль за выполнением настоящего решения возложить на главу администрации </w:t>
      </w:r>
      <w:r>
        <w:rPr>
          <w:b w:val="0"/>
          <w:i w:val="0"/>
          <w:sz w:val="28"/>
          <w:szCs w:val="28"/>
        </w:rPr>
        <w:t xml:space="preserve">Лубянского</w:t>
      </w:r>
      <w:r>
        <w:rPr>
          <w:i w:val="0"/>
          <w:sz w:val="28"/>
          <w:szCs w:val="28"/>
        </w:rPr>
        <w:t xml:space="preserve"> сельского поселения (Гончарова В.Н.).</w:t>
      </w:r>
      <w:r>
        <w:rPr>
          <w:i w:val="0"/>
          <w:sz w:val="28"/>
          <w:szCs w:val="28"/>
        </w:rPr>
      </w:r>
    </w:p>
    <w:p>
      <w:pPr>
        <w:pStyle w:val="708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8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Лубянского 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</w:r>
    </w:p>
    <w:p>
      <w:pPr>
        <w:pStyle w:val="708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</w:r>
      <w:r>
        <w:rPr>
          <w:b/>
          <w:color w:val="000000" w:themeColor="text1"/>
          <w:sz w:val="28"/>
          <w:szCs w:val="28"/>
        </w:rPr>
        <w:t xml:space="preserve">М.М. Потапова</w:t>
      </w:r>
      <w:r>
        <w:rPr>
          <w:color w:val="000000"/>
          <w:szCs w:val="28"/>
          <w:highlight w:val="none"/>
        </w:rPr>
      </w:r>
    </w:p>
    <w:p>
      <w:pPr>
        <w:pStyle w:val="708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pStyle w:val="708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pStyle w:val="708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pStyle w:val="708"/>
        <w:ind w:firstLine="0"/>
        <w:spacing w:before="0" w:after="0" w:line="240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pStyle w:val="641"/>
        <w:ind w:left="0" w:right="0" w:firstLine="0"/>
        <w:jc w:val="right"/>
        <w:spacing w:before="0" w:after="0"/>
        <w:shd w:val="clear" w:color="ffffff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 </w:t>
      </w:r>
      <w:r>
        <w:rPr>
          <w:rFonts w:ascii="Times New Roman" w:hAnsi="Times New Roman" w:eastAsia="Times New Roman" w:cs="Times New Roman"/>
          <w:color w:val="000000"/>
          <w:sz w:val="24"/>
        </w:rPr>
      </w:r>
    </w:p>
    <w:p>
      <w:pPr>
        <w:pStyle w:val="641"/>
        <w:ind w:left="0" w:right="0" w:firstLine="0"/>
        <w:jc w:val="right"/>
        <w:spacing w:before="0" w:after="0"/>
        <w:shd w:val="clear" w:color="ffffff"/>
        <w:rPr>
          <w:rFonts w:ascii="Times New Roman" w:hAnsi="Times New Roman" w:eastAsia="Times New Roman" w:cs="Times New Roman"/>
          <w:color w:val="000000"/>
          <w:sz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решению земского собрания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Style w:val="641"/>
        <w:ind w:left="0" w:right="0" w:firstLine="0"/>
        <w:jc w:val="right"/>
        <w:spacing w:before="0" w:after="0"/>
        <w:shd w:val="clear" w:color="ffffff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</w:rPr>
        <w:t xml:space="preserve">Лубянского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сельского поселения</w:t>
      </w:r>
      <w:r>
        <w:rPr>
          <w:rFonts w:ascii="Times New Roman" w:hAnsi="Times New Roman" w:eastAsia="Times New Roman" w:cs="Times New Roman"/>
          <w:sz w:val="24"/>
        </w:rPr>
        <w:t xml:space="preserve"> муниципального 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641"/>
        <w:ind w:left="0" w:right="0" w:firstLine="0"/>
        <w:jc w:val="right"/>
        <w:spacing w:before="0" w:after="0"/>
        <w:shd w:val="clear" w:color="ffffff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района «Чернянский район» Белгородкой области</w:t>
      </w:r>
      <w:r>
        <w:rPr>
          <w:rFonts w:ascii="Times New Roman" w:hAnsi="Times New Roman" w:eastAsia="Times New Roman" w:cs="Times New Roman"/>
          <w:sz w:val="24"/>
        </w:rPr>
      </w:r>
    </w:p>
    <w:p>
      <w:pPr>
        <w:pStyle w:val="708"/>
        <w:ind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highlight w:val="none"/>
        </w:rPr>
      </w:pPr>
      <w:r>
        <w:rPr>
          <w:rFonts w:eastAsia="Times New Roman" w:cs="Times New Roman"/>
          <w:color w:val="000000"/>
          <w:sz w:val="24"/>
        </w:rPr>
        <w:t xml:space="preserve">от 28.12.2023 г. № </w:t>
      </w:r>
      <w:r>
        <w:rPr>
          <w:rFonts w:eastAsia="Times New Roman" w:cs="Times New Roman"/>
          <w:color w:val="000000"/>
          <w:sz w:val="24"/>
        </w:rPr>
        <w:t xml:space="preserve">21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pStyle w:val="708"/>
        <w:ind w:firstLine="0"/>
        <w:jc w:val="right"/>
        <w:spacing w:before="0" w:after="0" w:line="240" w:lineRule="auto"/>
      </w:pPr>
      <w:r/>
      <w:r/>
    </w:p>
    <w:p>
      <w:pPr>
        <w:pStyle w:val="708"/>
        <w:ind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pPr>
      <w:r>
        <w:rPr>
          <w:rFonts w:eastAsia="Times New Roman" w:cs="Times New Roman"/>
          <w:b/>
          <w:color w:val="000000"/>
          <w:sz w:val="28"/>
        </w:rPr>
        <w:t xml:space="preserve">Положение о создании условий для реализации мер,</w: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pStyle w:val="708"/>
        <w:ind w:firstLine="0"/>
        <w:jc w:val="center"/>
        <w:spacing w:before="0" w:after="0" w:line="240" w:lineRule="auto"/>
        <w:rPr>
          <w:b/>
          <w:i w:val="0"/>
          <w:sz w:val="28"/>
          <w:highlight w:val="none"/>
        </w:rPr>
      </w:pPr>
      <w:r>
        <w:rPr>
          <w:rFonts w:eastAsia="Times New Roman" w:cs="Times New Roman"/>
          <w:b/>
          <w:color w:val="000000"/>
          <w:sz w:val="28"/>
        </w:rPr>
        <w:t xml:space="preserve">направленных на укрепление межнационального и межконфессионального согласия, сохранение и развитие языков и кул</w:t>
      </w:r>
      <w:r>
        <w:rPr>
          <w:rFonts w:eastAsia="Times New Roman" w:cs="Times New Roman"/>
          <w:b/>
          <w:color w:val="000000"/>
          <w:sz w:val="28"/>
        </w:rPr>
        <w:t xml:space="preserve">ьтуры народов Российской Федерации, проживающих на территории Лубянского сельского поселения муниципального района «Чернянский район» Белгородской области, социальную и культурную адаптацию мигрантов, профилактику межнациональных (межэтнических) конфликтов</w:t>
      </w:r>
      <w:r>
        <w:rPr>
          <w:b/>
          <w:i w:val="0"/>
          <w:sz w:val="28"/>
          <w:highlight w:val="none"/>
        </w:rPr>
      </w:r>
    </w:p>
    <w:p>
      <w:pPr>
        <w:pStyle w:val="708"/>
        <w:ind w:firstLine="0"/>
        <w:jc w:val="center"/>
        <w:spacing w:before="0" w:after="0" w:line="240" w:lineRule="auto"/>
      </w:pPr>
      <w:r/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1. Настоящее Положение определяет полн</w:t>
      </w:r>
      <w:r>
        <w:rPr>
          <w:b w:val="0"/>
        </w:rPr>
        <w:t xml:space="preserve">омочия органов местного самоуправления Лубянского  сельского поселения муниципального района «Чернянский район» Белгородской области (далее – сельское поселение) по созданию условий для реализации мер, направленных на укрепление межнационального и межконфе</w:t>
      </w:r>
      <w:r>
        <w:rPr>
          <w:b w:val="0"/>
        </w:rPr>
        <w:t xml:space="preserve">ссионального 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 (далее – меры).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2. Деятельность органов местного самоуправления сельского поселения по созданию условий для реализации мер имеет следующие цели: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1) предупреждение межнациональных и межконфессиональных конфликтов;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2) поддержка межнациональной культуры народов, проживающих на территории сельского поселения;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3) обеспечение социальной и культурной адаптации мигрантов, профилактика межнациональных (межэтнических) конфликтов;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4) обеспечение защиты личности и общества от межнациональных (межэтнических) конфликтов;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5) уменьшение проявлений экстремизма и негативного отношения к мигрантам;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6) выявление и устранение причин и условий, способствующих возникновению межэтнических конфликтов;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7) формирование у граждан, проживающих на территор</w:t>
      </w:r>
      <w:r>
        <w:rPr>
          <w:b w:val="0"/>
        </w:rPr>
        <w:t xml:space="preserve">ии сельского поселения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8) формирование толерантности и межэтнической культуры в молодежной среде, профилактика агрессивного поведения;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9) содействие успешной социальной и культурной адаптации и интеграции мигрантов, пребывающих на территории сельского поселения.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3. Для достижения целей, указанных в пункте 2 настоящего Положения, необходимо решение следующих задач: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1) информирование населения по вопросам миграционной политики;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2) 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3) пропаганда толерантного поведения к людям других национальностей и религиозных конфессий;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4) разъяснительная работа среди детей и молодежи;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5) 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6) недопущение наличия лозунгов (знаков) экстремистской направленности на объектах инфраструктуры.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4. Органы местного самоуправления сельского поселения участвуют в информ</w:t>
      </w:r>
      <w:r>
        <w:rPr>
          <w:b w:val="0"/>
        </w:rPr>
        <w:t xml:space="preserve">ационном взаимодействии с органами государственной власти 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</w:t>
      </w:r>
      <w:r>
        <w:rPr>
          <w:b w:val="0"/>
        </w:rPr>
        <w:t xml:space="preserve">ситуаций, утвержденным постановлением Правительства Российской Федерации от 02.10.2017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ситуаций».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5. 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 условий для реализации мер, направленных на укрепление межнационального и межконфессионального </w:t>
      </w:r>
      <w:r>
        <w:rPr>
          <w:b w:val="0"/>
        </w:rPr>
        <w:t xml:space="preserve">согласия, сохранение и развитие языков и культуры народов Российской Федерации, проживающих на территории сельского поселения, социальную и культурную адаптацию мигрантов, профилактику межнациональных (межэтнических) конфликтов (далее – план мероприятий). 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6. План мероприятий разрабатывается сроком на один календарный год (далее – плановый период).</w:t>
      </w:r>
      <w:r/>
    </w:p>
    <w:p>
      <w:pPr>
        <w:pStyle w:val="708"/>
        <w:ind w:left="0" w:right="0" w:firstLine="567"/>
        <w:jc w:val="both"/>
        <w:spacing w:before="0" w:after="0" w:line="240" w:lineRule="auto"/>
        <w:rPr>
          <w:b w:val="0"/>
          <w:highlight w:val="none"/>
        </w:rPr>
      </w:pPr>
      <w:r>
        <w:rPr>
          <w:b w:val="0"/>
        </w:rPr>
        <w:t xml:space="preserve">7. Глава администрации сельского поселения утверждает план мероприятий не позднее 30 ноября года, предшествующего плановому периоду.</w:t>
      </w:r>
      <w:r>
        <w:rPr>
          <w:b w:val="0"/>
          <w:highlight w:val="none"/>
        </w:rPr>
      </w:r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8. Копия плана мероприятий в течение трех рабочих дней со дня утверждения направляется главе сельского поселения.</w:t>
      </w:r>
      <w:r/>
    </w:p>
    <w:p>
      <w:pPr>
        <w:pStyle w:val="708"/>
        <w:ind w:left="0" w:right="0" w:firstLine="567"/>
        <w:jc w:val="both"/>
        <w:spacing w:before="0" w:after="0" w:line="240" w:lineRule="auto"/>
      </w:pPr>
      <w:r>
        <w:rPr>
          <w:b w:val="0"/>
        </w:rPr>
        <w:t xml:space="preserve">9. Глава администрации сельского поселения отчитывается о выполнении плана мер</w:t>
      </w:r>
      <w:r>
        <w:rPr>
          <w:b w:val="0"/>
        </w:rPr>
        <w:t xml:space="preserve">оприятий на заседании земского собрания сельского поселения в рамках ежегодного отчета, предусмотренного частью 11.1. статьи 35 Федерального закона от 06.10.2003 года № 131-ФЗ «Об общих принципах организации местного самоуправления в Российской Федерации».</w:t>
      </w:r>
      <w:r/>
    </w:p>
    <w:p>
      <w:pPr>
        <w:pStyle w:val="708"/>
        <w:ind w:left="0" w:right="0" w:firstLine="567"/>
        <w:jc w:val="both"/>
        <w:spacing w:before="0" w:after="0" w:line="240" w:lineRule="auto"/>
        <w:rPr>
          <w:b w:val="0"/>
          <w:highlight w:val="none"/>
        </w:rPr>
      </w:pPr>
      <w:r>
        <w:rPr>
          <w:b w:val="0"/>
        </w:rPr>
      </w:r>
      <w:r>
        <w:rPr>
          <w:b w:val="0"/>
          <w:highlight w:val="none"/>
        </w:rPr>
      </w:r>
    </w:p>
    <w:p>
      <w:pPr>
        <w:pStyle w:val="708"/>
        <w:ind w:left="0" w:right="0" w:firstLine="567"/>
        <w:jc w:val="both"/>
        <w:spacing w:before="0" w:after="0" w:line="240" w:lineRule="auto"/>
        <w:rPr>
          <w:b w:val="0"/>
          <w:highlight w:val="none"/>
        </w:rPr>
      </w:pPr>
      <w:r>
        <w:rPr>
          <w:b w:val="0"/>
        </w:rPr>
      </w:r>
      <w:r>
        <w:rPr>
          <w:b w:val="0"/>
          <w:highlight w:val="none"/>
        </w:rPr>
      </w:r>
    </w:p>
    <w:p>
      <w:pPr>
        <w:pStyle w:val="708"/>
        <w:ind w:left="0" w:right="0" w:firstLine="567"/>
        <w:jc w:val="center"/>
        <w:spacing w:before="0" w:after="0" w:line="240" w:lineRule="auto"/>
        <w:rPr>
          <w:b w:val="0"/>
          <w:highlight w:val="none"/>
        </w:rPr>
      </w:pPr>
      <w:r>
        <w:rPr>
          <w:b w:val="0"/>
        </w:rPr>
        <w:t xml:space="preserve">______________</w:t>
      </w:r>
      <w:r>
        <w:rPr>
          <w:b w:val="0"/>
          <w:highlight w:val="none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SC">
    <w:panose1 w:val="020B0502040504020204"/>
  </w:font>
  <w:font w:name="Noto Sans Devanagari">
    <w:panose1 w:val="020B05020405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spacing w:before="0" w:after="2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2"/>
      <w:ind w:left="0" w:right="0" w:firstLine="0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3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1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642">
    <w:name w:val="Heading 1"/>
    <w:basedOn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3">
    <w:name w:val="Heading 2"/>
    <w:basedOn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4">
    <w:name w:val="Heading 3"/>
    <w:basedOn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5">
    <w:name w:val="Heading 4"/>
    <w:basedOn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7">
    <w:name w:val="Heading 6"/>
    <w:basedOn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9">
    <w:name w:val="Heading 8"/>
    <w:basedOn w:val="6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yperlink"/>
    <w:uiPriority w:val="99"/>
    <w:unhideWhenUsed/>
    <w:rPr>
      <w:color w:val="0000ff" w:themeColor="hyperlink"/>
      <w:u w:val="single"/>
    </w:rPr>
  </w:style>
  <w:style w:type="character" w:styleId="652">
    <w:name w:val="Символ сноски"/>
    <w:basedOn w:val="679"/>
    <w:uiPriority w:val="99"/>
    <w:unhideWhenUsed/>
    <w:qFormat/>
    <w:rPr>
      <w:vertAlign w:val="superscript"/>
    </w:rPr>
  </w:style>
  <w:style w:type="character" w:styleId="653">
    <w:name w:val="footnote reference"/>
    <w:rPr>
      <w:vertAlign w:val="superscript"/>
    </w:rPr>
  </w:style>
  <w:style w:type="character" w:styleId="654">
    <w:name w:val="Символ концевой сноски"/>
    <w:basedOn w:val="679"/>
    <w:uiPriority w:val="99"/>
    <w:semiHidden/>
    <w:unhideWhenUsed/>
    <w:qFormat/>
    <w:rPr>
      <w:vertAlign w:val="superscript"/>
    </w:rPr>
  </w:style>
  <w:style w:type="character" w:styleId="655">
    <w:name w:val="endnote reference"/>
    <w:rPr>
      <w:vertAlign w:val="superscript"/>
    </w:rPr>
  </w:style>
  <w:style w:type="character" w:styleId="656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57">
    <w:name w:val="Heading 2 Char"/>
    <w:uiPriority w:val="9"/>
    <w:qFormat/>
    <w:rPr>
      <w:rFonts w:ascii="Arial" w:hAnsi="Arial" w:eastAsia="Arial" w:cs="Arial"/>
      <w:sz w:val="34"/>
    </w:rPr>
  </w:style>
  <w:style w:type="character" w:styleId="658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59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uiPriority w:val="10"/>
    <w:qFormat/>
    <w:rPr>
      <w:sz w:val="48"/>
      <w:szCs w:val="48"/>
    </w:rPr>
  </w:style>
  <w:style w:type="character" w:styleId="666">
    <w:name w:val="Subtitle Char"/>
    <w:uiPriority w:val="11"/>
    <w:qFormat/>
    <w:rPr>
      <w:sz w:val="24"/>
      <w:szCs w:val="24"/>
    </w:rPr>
  </w:style>
  <w:style w:type="character" w:styleId="667">
    <w:name w:val="Quote Char"/>
    <w:uiPriority w:val="29"/>
    <w:qFormat/>
    <w:rPr>
      <w:i/>
    </w:rPr>
  </w:style>
  <w:style w:type="character" w:styleId="668">
    <w:name w:val="Intense Quote Char"/>
    <w:uiPriority w:val="30"/>
    <w:qFormat/>
    <w:rPr>
      <w:i/>
    </w:rPr>
  </w:style>
  <w:style w:type="character" w:styleId="669">
    <w:name w:val="Header Char"/>
    <w:uiPriority w:val="99"/>
    <w:qFormat/>
  </w:style>
  <w:style w:type="character" w:styleId="670">
    <w:name w:val="Footer Char"/>
    <w:uiPriority w:val="99"/>
    <w:qFormat/>
  </w:style>
  <w:style w:type="character" w:styleId="671">
    <w:name w:val="Caption Char"/>
    <w:uiPriority w:val="99"/>
    <w:qFormat/>
  </w:style>
  <w:style w:type="character" w:styleId="672">
    <w:name w:val="Footnote Text Char"/>
    <w:uiPriority w:val="99"/>
    <w:qFormat/>
    <w:rPr>
      <w:sz w:val="18"/>
    </w:rPr>
  </w:style>
  <w:style w:type="character" w:styleId="673">
    <w:name w:val="Footnote Characters"/>
    <w:uiPriority w:val="99"/>
    <w:unhideWhenUsed/>
    <w:qFormat/>
    <w:rPr>
      <w:vertAlign w:val="superscript"/>
    </w:rPr>
  </w:style>
  <w:style w:type="character" w:styleId="674">
    <w:name w:val="Endnote Text Char"/>
    <w:uiPriority w:val="99"/>
    <w:qFormat/>
    <w:rPr>
      <w:sz w:val="20"/>
    </w:rPr>
  </w:style>
  <w:style w:type="character" w:styleId="675">
    <w:name w:val="Endnote Characters"/>
    <w:uiPriority w:val="99"/>
    <w:semiHidden/>
    <w:unhideWhenUsed/>
    <w:qFormat/>
    <w:rPr>
      <w:vertAlign w:val="superscript"/>
    </w:rPr>
  </w:style>
  <w:style w:type="character" w:styleId="676">
    <w:name w:val="Основной шрифт абзаца"/>
    <w:semiHidden/>
    <w:qFormat/>
  </w:style>
  <w:style w:type="character" w:styleId="677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678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679" w:default="1">
    <w:name w:val="Default Paragraph Font"/>
    <w:uiPriority w:val="1"/>
    <w:semiHidden/>
    <w:unhideWhenUsed/>
    <w:qFormat/>
  </w:style>
  <w:style w:type="paragraph" w:styleId="680">
    <w:name w:val="Заголовок"/>
    <w:basedOn w:val="641"/>
    <w:next w:val="681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681">
    <w:name w:val="Body Text"/>
    <w:basedOn w:val="641"/>
    <w:pPr>
      <w:spacing w:before="0" w:after="140" w:line="276" w:lineRule="auto"/>
    </w:pPr>
  </w:style>
  <w:style w:type="paragraph" w:styleId="682">
    <w:name w:val="List"/>
    <w:basedOn w:val="681"/>
    <w:rPr>
      <w:rFonts w:cs="Noto Sans Devanagari"/>
    </w:rPr>
  </w:style>
  <w:style w:type="paragraph" w:styleId="683">
    <w:name w:val="Caption"/>
    <w:basedOn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84">
    <w:name w:val="Указатель"/>
    <w:basedOn w:val="641"/>
    <w:qFormat/>
    <w:pPr>
      <w:suppressLineNumbers/>
    </w:pPr>
    <w:rPr>
      <w:rFonts w:cs="Noto Sans Devanagari"/>
    </w:rPr>
  </w:style>
  <w:style w:type="paragraph" w:styleId="685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686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687">
    <w:name w:val="Title"/>
    <w:basedOn w:val="68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88">
    <w:name w:val="Subtitle"/>
    <w:basedOn w:val="680"/>
    <w:uiPriority w:val="11"/>
    <w:qFormat/>
    <w:pPr>
      <w:spacing w:before="200" w:after="200"/>
    </w:pPr>
    <w:rPr>
      <w:sz w:val="24"/>
      <w:szCs w:val="24"/>
    </w:rPr>
  </w:style>
  <w:style w:type="paragraph" w:styleId="689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690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691">
    <w:name w:val="Колонтитул"/>
    <w:basedOn w:val="641"/>
    <w:qFormat/>
  </w:style>
  <w:style w:type="paragraph" w:styleId="692">
    <w:name w:val="Header"/>
    <w:basedOn w:val="708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693">
    <w:name w:val="Footer"/>
    <w:basedOn w:val="708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694">
    <w:name w:val="footnote text"/>
    <w:basedOn w:val="64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95">
    <w:name w:val="endnote text"/>
    <w:basedOn w:val="64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96">
    <w:name w:val="toc 1"/>
    <w:basedOn w:val="684"/>
    <w:uiPriority w:val="39"/>
    <w:unhideWhenUsed/>
    <w:pPr>
      <w:ind w:left="0" w:right="0" w:firstLine="0"/>
      <w:spacing w:before="0" w:after="57"/>
    </w:pPr>
  </w:style>
  <w:style w:type="paragraph" w:styleId="697">
    <w:name w:val="toc 2"/>
    <w:basedOn w:val="684"/>
    <w:uiPriority w:val="39"/>
    <w:unhideWhenUsed/>
    <w:pPr>
      <w:ind w:left="283" w:right="0" w:firstLine="0"/>
      <w:spacing w:before="0" w:after="57"/>
    </w:pPr>
  </w:style>
  <w:style w:type="paragraph" w:styleId="698">
    <w:name w:val="toc 3"/>
    <w:basedOn w:val="684"/>
    <w:uiPriority w:val="39"/>
    <w:unhideWhenUsed/>
    <w:pPr>
      <w:ind w:left="567" w:right="0" w:firstLine="0"/>
      <w:spacing w:before="0" w:after="57"/>
    </w:pPr>
  </w:style>
  <w:style w:type="paragraph" w:styleId="699">
    <w:name w:val="toc 4"/>
    <w:basedOn w:val="684"/>
    <w:uiPriority w:val="39"/>
    <w:unhideWhenUsed/>
    <w:pPr>
      <w:ind w:left="850" w:right="0" w:firstLine="0"/>
      <w:spacing w:before="0" w:after="57"/>
    </w:pPr>
  </w:style>
  <w:style w:type="paragraph" w:styleId="700">
    <w:name w:val="toc 5"/>
    <w:basedOn w:val="684"/>
    <w:uiPriority w:val="39"/>
    <w:unhideWhenUsed/>
    <w:pPr>
      <w:ind w:left="1134" w:right="0" w:firstLine="0"/>
      <w:spacing w:before="0" w:after="57"/>
    </w:pPr>
  </w:style>
  <w:style w:type="paragraph" w:styleId="701">
    <w:name w:val="toc 6"/>
    <w:basedOn w:val="684"/>
    <w:uiPriority w:val="39"/>
    <w:unhideWhenUsed/>
    <w:pPr>
      <w:ind w:left="1417" w:right="0" w:firstLine="0"/>
      <w:spacing w:before="0" w:after="57"/>
    </w:pPr>
  </w:style>
  <w:style w:type="paragraph" w:styleId="702">
    <w:name w:val="toc 7"/>
    <w:basedOn w:val="684"/>
    <w:uiPriority w:val="39"/>
    <w:unhideWhenUsed/>
    <w:pPr>
      <w:ind w:left="1701" w:right="0" w:firstLine="0"/>
      <w:spacing w:before="0" w:after="57"/>
    </w:pPr>
  </w:style>
  <w:style w:type="paragraph" w:styleId="703">
    <w:name w:val="toc 8"/>
    <w:basedOn w:val="684"/>
    <w:uiPriority w:val="39"/>
    <w:unhideWhenUsed/>
    <w:pPr>
      <w:ind w:left="1984" w:right="0" w:firstLine="0"/>
      <w:spacing w:before="0" w:after="57"/>
    </w:pPr>
  </w:style>
  <w:style w:type="paragraph" w:styleId="704">
    <w:name w:val="toc 9"/>
    <w:basedOn w:val="684"/>
    <w:uiPriority w:val="39"/>
    <w:unhideWhenUsed/>
    <w:pPr>
      <w:ind w:left="2268" w:right="0" w:firstLine="0"/>
      <w:spacing w:before="0" w:after="57"/>
    </w:pPr>
  </w:style>
  <w:style w:type="paragraph" w:styleId="705">
    <w:name w:val="Index Heading"/>
    <w:basedOn w:val="680"/>
  </w:style>
  <w:style w:type="paragraph" w:styleId="706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707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708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709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710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711">
    <w:name w:val="Обычный (веб)"/>
    <w:basedOn w:val="708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712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713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714">
    <w:name w:val="Абзац списка"/>
    <w:basedOn w:val="708"/>
    <w:qFormat/>
    <w:pPr>
      <w:contextualSpacing/>
      <w:ind w:left="720" w:firstLine="709"/>
      <w:spacing w:before="0" w:after="200"/>
    </w:pPr>
  </w:style>
  <w:style w:type="numbering" w:styleId="715">
    <w:name w:val="Нет списка"/>
    <w:semiHidden/>
    <w:qFormat/>
  </w:style>
  <w:style w:type="numbering" w:styleId="716" w:default="1">
    <w:name w:val="No List"/>
    <w:uiPriority w:val="99"/>
    <w:semiHidden/>
    <w:unhideWhenUsed/>
    <w:qFormat/>
  </w:style>
  <w:style w:type="table" w:styleId="71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2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ce6f1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4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4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4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5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6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6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6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6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6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6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8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3e0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efd3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6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ce4d1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0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0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1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1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1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1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1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1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1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1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1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2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2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2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2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2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2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2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2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2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2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3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d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dc2" w:themeFill="accent1" w:themeFillTint="EA"/>
      </w:tcPr>
    </w:tblStylePr>
  </w:style>
  <w:style w:type="table" w:styleId="83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b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b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4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4" w:themeFill="accent2" w:themeFillTint="97"/>
      </w:tcPr>
    </w:tblStylePr>
  </w:style>
  <w:style w:type="table" w:styleId="83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0d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0d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bba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bba59" w:themeFill="accent3" w:themeFillTint="FE"/>
      </w:tcPr>
    </w:tblStylePr>
  </w:style>
  <w:style w:type="table" w:styleId="83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83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83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83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3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3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4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4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4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37</cp:revision>
  <dcterms:modified xsi:type="dcterms:W3CDTF">2024-01-01T06:37:50Z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