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sz w:val="24"/>
          <w:szCs w:val="24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ЧЕРНЯНСКИЙ РАЙОН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251658240;o:allowoverlap:true;o:allowincell:true;mso-position-horizontal-relative:margin;margin-left:196.10pt;mso-position-horizontal:absolute;mso-position-vertical-relative:margin;margin-top:29.25pt;mso-position-vertical:absolute;width:44.45pt;height:49.65pt;mso-wrap-distance-left:9.00pt;mso-wrap-distance-top:0.00pt;mso-wrap-distance-right:9.00pt;mso-wrap-distance-bottom:0.00pt;" filled="f" stroked="f">
            <v:path textboxrect="0,0,0,0"/>
            <w10:wrap type="topAndBottom"/>
            <v:imagedata r:id="rId10" o:title=""/>
          </v:shape>
          <o:OLEObject DrawAspect="Content" r:id="rId11" ObjectID="_1525040" ProgID="Word.Document.12" ShapeID="_x0000_i0" Type="Embed"/>
        </w:objec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АДМИНИСТРАЦИЯ ЛУБЯНСКОГО СЕЛЬСКОГО ПОСЕЛЕНИЯ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747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МУНИЦИПАЛЬНОГО РАЙОНА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"ЧЕРНЯНСКИЙ РАЙОН"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47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БЕЛГОРОДСКОЙ ОБЛАСТИ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О С Т А Н О В Л Е Н И Е</w:t>
      </w: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«08</w:t>
      </w:r>
      <w:r>
        <w:rPr>
          <w:b/>
          <w:szCs w:val="28"/>
        </w:rPr>
        <w:t xml:space="preserve">» </w:t>
      </w:r>
      <w:r>
        <w:rPr>
          <w:b/>
          <w:szCs w:val="28"/>
        </w:rPr>
        <w:t xml:space="preserve">апреля 2025</w:t>
      </w:r>
      <w:r>
        <w:rPr>
          <w:b/>
          <w:szCs w:val="28"/>
        </w:rPr>
        <w:t xml:space="preserve"> г</w:t>
      </w:r>
      <w:r>
        <w:rPr>
          <w:b/>
          <w:color w:val="000000"/>
          <w:szCs w:val="28"/>
        </w:rPr>
        <w:t xml:space="preserve">.                                           </w:t>
      </w:r>
      <w:r>
        <w:rPr>
          <w:b/>
          <w:color w:val="000000"/>
          <w:szCs w:val="28"/>
        </w:rPr>
        <w:t xml:space="preserve">                                     № 10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</w:rPr>
        <w:t xml:space="preserve">                </w:t>
      </w:r>
      <w:r>
        <w:rPr>
          <w:b/>
          <w:color w:val="000000"/>
          <w:szCs w:val="28"/>
          <w:highlight w:val="white"/>
        </w:rPr>
        <w:t xml:space="preserve">О внесении изменений</w:t>
      </w:r>
      <w:r>
        <w:rPr>
          <w:b/>
          <w:color w:val="000000"/>
          <w:szCs w:val="28"/>
          <w:highlight w:val="white"/>
        </w:rPr>
        <w:t xml:space="preserve"> </w:t>
      </w:r>
      <w:r>
        <w:rPr>
          <w:b/>
          <w:color w:val="000000"/>
          <w:szCs w:val="28"/>
          <w:highlight w:val="white"/>
        </w:rPr>
        <w:t xml:space="preserve">в постановление администрации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jc w:val="center"/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Лубянского</w:t>
      </w:r>
      <w:r>
        <w:rPr>
          <w:b/>
          <w:color w:val="000000"/>
          <w:szCs w:val="28"/>
          <w:highlight w:val="white"/>
        </w:rPr>
        <w:t xml:space="preserve"> сельского поселения</w:t>
      </w:r>
      <w:r>
        <w:rPr>
          <w:b/>
          <w:color w:val="000000"/>
          <w:szCs w:val="28"/>
          <w:highlight w:val="white"/>
        </w:rPr>
        <w:t xml:space="preserve"> </w:t>
      </w:r>
      <w:r>
        <w:rPr>
          <w:b/>
          <w:color w:val="000000"/>
          <w:szCs w:val="28"/>
          <w:highlight w:val="white"/>
        </w:rPr>
        <w:t xml:space="preserve">муниципального района</w:t>
      </w:r>
      <w:r>
        <w:rPr>
          <w:b/>
          <w:color w:val="000000"/>
          <w:szCs w:val="28"/>
          <w:highlight w:val="white"/>
        </w:rPr>
        <w:t xml:space="preserve">«</w:t>
      </w:r>
      <w:r>
        <w:rPr>
          <w:b/>
          <w:color w:val="000000"/>
          <w:szCs w:val="28"/>
          <w:highlight w:val="white"/>
        </w:rPr>
        <w:t xml:space="preserve">Ч</w:t>
      </w:r>
      <w:r>
        <w:rPr>
          <w:b/>
          <w:color w:val="000000"/>
          <w:szCs w:val="28"/>
          <w:highlight w:val="white"/>
        </w:rPr>
        <w:t xml:space="preserve">ернянский</w:t>
      </w:r>
      <w:r>
        <w:rPr>
          <w:b/>
          <w:color w:val="000000"/>
          <w:szCs w:val="28"/>
          <w:highlight w:val="white"/>
        </w:rPr>
        <w:t xml:space="preserve"> район» Белгородской области</w:t>
      </w:r>
      <w:r>
        <w:rPr>
          <w:b/>
          <w:color w:val="000000"/>
          <w:szCs w:val="28"/>
          <w:highlight w:val="white"/>
        </w:rPr>
        <w:t xml:space="preserve"> от 28</w:t>
      </w:r>
      <w:r>
        <w:rPr>
          <w:b/>
          <w:color w:val="000000"/>
          <w:szCs w:val="28"/>
          <w:highlight w:val="white"/>
        </w:rPr>
        <w:t xml:space="preserve"> декабря 2024 года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jc w:val="center"/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 № 7</w:t>
      </w:r>
      <w:r>
        <w:rPr>
          <w:b/>
          <w:color w:val="000000"/>
          <w:szCs w:val="28"/>
          <w:highlight w:val="white"/>
        </w:rPr>
        <w:t xml:space="preserve">6</w:t>
      </w:r>
      <w:r>
        <w:rPr>
          <w:b/>
          <w:color w:val="000000"/>
          <w:szCs w:val="28"/>
          <w:highlight w:val="white"/>
        </w:rPr>
        <w:t xml:space="preserve"> «Об утверждении  муниципальной программы «Устойчивое развитие сельских территорий </w:t>
      </w:r>
      <w:r>
        <w:rPr>
          <w:b/>
          <w:color w:val="000000"/>
          <w:szCs w:val="28"/>
          <w:highlight w:val="white"/>
        </w:rPr>
        <w:t xml:space="preserve">Лубянского</w:t>
      </w:r>
      <w:r>
        <w:rPr>
          <w:b/>
          <w:color w:val="000000"/>
          <w:szCs w:val="28"/>
          <w:highlight w:val="white"/>
        </w:rPr>
        <w:t xml:space="preserve"> сельского поселения </w:t>
      </w:r>
      <w:r>
        <w:rPr>
          <w:b/>
          <w:color w:val="000000"/>
          <w:szCs w:val="28"/>
          <w:highlight w:val="white"/>
        </w:rPr>
        <w:t xml:space="preserve">Чернянского</w:t>
      </w:r>
      <w:r>
        <w:rPr>
          <w:b/>
          <w:color w:val="000000"/>
          <w:szCs w:val="28"/>
          <w:highlight w:val="white"/>
        </w:rPr>
        <w:t xml:space="preserve"> района Белгородской области на 2025-2030 годы»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</w:r>
      <w:r>
        <w:rPr>
          <w:b/>
          <w:sz w:val="27"/>
          <w:szCs w:val="27"/>
          <w:highlight w:val="white"/>
        </w:rPr>
      </w:r>
      <w:r>
        <w:rPr>
          <w:b/>
          <w:sz w:val="27"/>
          <w:szCs w:val="27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none"/>
        </w:rPr>
        <w:t xml:space="preserve">         </w:t>
      </w:r>
      <w:r>
        <w:rPr>
          <w:szCs w:val="28"/>
          <w:highlight w:val="white"/>
        </w:rPr>
        <w:t xml:space="preserve">В соответствии</w:t>
      </w:r>
      <w:r>
        <w:rPr>
          <w:szCs w:val="28"/>
          <w:highlight w:val="white"/>
        </w:rPr>
        <w:t xml:space="preserve"> с</w:t>
      </w:r>
      <w:r>
        <w:rPr>
          <w:szCs w:val="28"/>
          <w:highlight w:val="white"/>
        </w:rPr>
        <w:t xml:space="preserve">о статьей 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«Устойчивое развитие сельских территорий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 администрация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сельского поселения  муниципального района «</w:t>
      </w:r>
      <w:r>
        <w:rPr>
          <w:szCs w:val="28"/>
          <w:highlight w:val="white"/>
        </w:rPr>
        <w:t xml:space="preserve">Чернянский</w:t>
      </w:r>
      <w:r>
        <w:rPr>
          <w:szCs w:val="28"/>
          <w:highlight w:val="white"/>
        </w:rPr>
        <w:t xml:space="preserve"> район» Белгородской области </w:t>
      </w:r>
      <w:r>
        <w:rPr>
          <w:b/>
          <w:bCs/>
          <w:szCs w:val="28"/>
          <w:highlight w:val="white"/>
        </w:rPr>
        <w:t xml:space="preserve">постановляет: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none"/>
        </w:rPr>
        <w:t xml:space="preserve">         </w:t>
      </w:r>
      <w:r>
        <w:rPr>
          <w:szCs w:val="28"/>
          <w:highlight w:val="white"/>
        </w:rPr>
        <w:t xml:space="preserve">1. Муниципальную программу «Устойчивое развитие сельских территорий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утвержденную постановлением администрации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 от 28</w:t>
      </w:r>
      <w:r>
        <w:rPr>
          <w:szCs w:val="28"/>
          <w:highlight w:val="white"/>
        </w:rPr>
        <w:t xml:space="preserve">.1</w:t>
      </w:r>
      <w:r>
        <w:rPr>
          <w:szCs w:val="28"/>
          <w:highlight w:val="white"/>
        </w:rPr>
        <w:t xml:space="preserve">2.2024 г. №76</w:t>
      </w:r>
      <w:r>
        <w:rPr>
          <w:szCs w:val="28"/>
          <w:highlight w:val="white"/>
        </w:rPr>
        <w:t xml:space="preserve"> утвердить в новой редакции (прилагается).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8"/>
        <w:jc w:val="both"/>
        <w:rPr>
          <w:szCs w:val="28"/>
          <w:highlight w:val="white"/>
        </w:rPr>
      </w:pPr>
      <w:r>
        <w:rPr>
          <w:szCs w:val="28"/>
          <w:highlight w:val="none"/>
        </w:rPr>
        <w:t xml:space="preserve">2</w:t>
      </w:r>
      <w:r>
        <w:rPr>
          <w:szCs w:val="28"/>
          <w:highlight w:val="white"/>
        </w:rPr>
        <w:t xml:space="preserve">. Настоящее постановление обнародовать в порядке, установленном Уставом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 сельского поселения и разместить на официальном сайте органов местного самоуправления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муниципального района «</w:t>
      </w:r>
      <w:r>
        <w:rPr>
          <w:szCs w:val="28"/>
          <w:highlight w:val="white"/>
        </w:rPr>
        <w:t xml:space="preserve">Чернянский</w:t>
      </w:r>
      <w:r>
        <w:rPr>
          <w:szCs w:val="28"/>
          <w:highlight w:val="white"/>
        </w:rPr>
        <w:t xml:space="preserve"> район» в сети Интернет </w:t>
      </w:r>
      <w:r>
        <w:rPr>
          <w:bCs/>
          <w:szCs w:val="28"/>
          <w:highlight w:val="white"/>
        </w:rPr>
        <w:t xml:space="preserve">(адрес сайта: </w:t>
      </w:r>
      <w:r>
        <w:rPr>
          <w:rFonts w:eastAsiaTheme="minorEastAsia"/>
          <w:color w:val="000000" w:themeColor="text1"/>
          <w:szCs w:val="28"/>
          <w:highlight w:val="white"/>
        </w:rPr>
        <w:t xml:space="preserve">https://lubyanoepervoe-r31.gosweb.gosuslugi.ru</w:t>
      </w:r>
      <w:r>
        <w:rPr>
          <w:szCs w:val="28"/>
          <w:highlight w:val="white"/>
        </w:rPr>
        <w:t xml:space="preserve">).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         3. Контроль исполнения настоящего постановления оставляю за собой.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В.Н. Гончарова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/>
        <w:jc w:val="center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42"/>
        <w:jc w:val="center"/>
        <w:spacing w:line="276" w:lineRule="auto"/>
        <w:rPr>
          <w:sz w:val="24"/>
          <w:szCs w:val="24"/>
        </w:rPr>
      </w:pP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left="142"/>
        <w:jc w:val="center"/>
        <w:spacing w:line="276" w:lineRule="auto"/>
        <w:rPr>
          <w:sz w:val="24"/>
          <w:szCs w:val="24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Приложение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142"/>
        <w:jc w:val="righ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Лубянского</w:t>
      </w:r>
      <w:r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«08» апреля 2025 года № 10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r>
        <w:rPr>
          <w:b/>
          <w:bCs/>
          <w:szCs w:val="28"/>
        </w:rPr>
        <w:t xml:space="preserve">СЕЛЬСКИХ</w:t>
      </w:r>
      <w:r>
        <w:rPr>
          <w:b/>
          <w:bCs/>
          <w:szCs w:val="28"/>
        </w:rPr>
        <w:t xml:space="preserve"> ТЕРРИТОРИИЙ ЛУБЯНСКОГО  СЕЛЬСКОГО ПОСЕЛЕНИЯ ЧЕРНЯНСКОГО РАЙОНА БЕЛГОРОДСКОЙ ОБЛАСТИ на 2025-2030 года»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</w:t>
      </w:r>
      <w:r>
        <w:rPr>
          <w:b/>
          <w:bCs/>
          <w:szCs w:val="28"/>
        </w:rPr>
        <w:t xml:space="preserve">Лубянского</w:t>
      </w:r>
      <w:r>
        <w:rPr>
          <w:b/>
          <w:bCs/>
          <w:szCs w:val="28"/>
        </w:rPr>
        <w:t xml:space="preserve">  сельского поселения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 Белгородской области».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r/>
      <w:r/>
      <w:r/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</w:t>
      </w:r>
      <w:r>
        <w:rPr>
          <w:b/>
          <w:bCs/>
          <w:szCs w:val="28"/>
        </w:rPr>
        <w:t xml:space="preserve">социального-экономического</w:t>
      </w:r>
      <w:r>
        <w:rPr>
          <w:b/>
          <w:bCs/>
          <w:szCs w:val="28"/>
        </w:rPr>
        <w:t xml:space="preserve"> развития </w:t>
      </w:r>
      <w:r>
        <w:rPr>
          <w:b/>
          <w:bCs/>
          <w:szCs w:val="28"/>
        </w:rPr>
        <w:t xml:space="preserve">Лубянского</w:t>
      </w:r>
      <w:r>
        <w:rPr>
          <w:b/>
          <w:bCs/>
          <w:szCs w:val="28"/>
        </w:rPr>
        <w:t xml:space="preserve">  сельского поселения.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r/>
      <w:r/>
      <w:r/>
    </w:p>
    <w:p>
      <w:pPr>
        <w:jc w:val="both"/>
        <w:rPr>
          <w:szCs w:val="28"/>
        </w:rPr>
      </w:pPr>
      <w:r>
        <w:rPr>
          <w:szCs w:val="28"/>
        </w:rPr>
        <w:t xml:space="preserve">Лубянское</w:t>
      </w:r>
      <w:r>
        <w:rPr>
          <w:szCs w:val="28"/>
        </w:rPr>
        <w:t xml:space="preserve"> сельское поселение расположено в северо-восточной части Белгородской области. Границы территории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 сельского поселения установлены Законом Белгородской области № 582-01-ЗМО от 29.12.2004 г. «Об утверждении границ муниципальных образований в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состав сельского поселения входят 3 </w:t>
      </w:r>
      <w:r>
        <w:rPr>
          <w:szCs w:val="28"/>
        </w:rPr>
        <w:t xml:space="preserve">населенных</w:t>
      </w:r>
      <w:r>
        <w:rPr>
          <w:szCs w:val="28"/>
        </w:rPr>
        <w:t xml:space="preserve"> пункта: (село Становое, село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, хутор Медвежье), насчитывающие</w:t>
      </w:r>
      <w:r>
        <w:rPr>
          <w:szCs w:val="28"/>
          <w:highlight w:val="white"/>
        </w:rPr>
        <w:t xml:space="preserve"> 201 хо</w:t>
      </w:r>
      <w:r>
        <w:rPr>
          <w:szCs w:val="28"/>
        </w:rPr>
        <w:t xml:space="preserve">зяйство, с административным центром в селе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ab/>
        <w:t xml:space="preserve">Административный центр находится на расстоянии 40 км от районного центра. Общая площадь сельского поселения составляет 4447 га. Граничит на севере с землями </w:t>
      </w:r>
      <w:r>
        <w:rPr>
          <w:szCs w:val="28"/>
        </w:rPr>
        <w:t xml:space="preserve">Новореченского</w:t>
      </w:r>
      <w:r>
        <w:rPr>
          <w:szCs w:val="28"/>
        </w:rPr>
        <w:t xml:space="preserve"> сельского поселения, на западе с </w:t>
      </w:r>
      <w:r>
        <w:rPr>
          <w:szCs w:val="28"/>
        </w:rPr>
        <w:t xml:space="preserve">Волотовским</w:t>
      </w:r>
      <w:r>
        <w:rPr>
          <w:szCs w:val="28"/>
        </w:rPr>
        <w:t xml:space="preserve">  сельским поселением, на востоке с Краснянским районом, на юго-востоке с землями </w:t>
      </w:r>
      <w:r>
        <w:rPr>
          <w:szCs w:val="28"/>
        </w:rPr>
        <w:t xml:space="preserve">Новооскольского</w:t>
      </w:r>
      <w:r>
        <w:rPr>
          <w:szCs w:val="28"/>
        </w:rPr>
        <w:t xml:space="preserve"> городского округа, на юго-западе с </w:t>
      </w:r>
      <w:r>
        <w:rPr>
          <w:szCs w:val="28"/>
        </w:rPr>
        <w:t xml:space="preserve">Волотовским</w:t>
      </w:r>
      <w:r>
        <w:rPr>
          <w:szCs w:val="28"/>
        </w:rPr>
        <w:t xml:space="preserve">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  <w:highlight w:val="white"/>
        </w:rPr>
      </w:pPr>
      <w:r>
        <w:rPr>
          <w:szCs w:val="28"/>
        </w:rPr>
        <w:t xml:space="preserve">Численность  населения 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 сельского поселения составляет </w:t>
      </w:r>
      <w:r>
        <w:rPr>
          <w:szCs w:val="28"/>
          <w:highlight w:val="white"/>
        </w:rPr>
        <w:t xml:space="preserve">446</w:t>
      </w:r>
      <w:r>
        <w:rPr>
          <w:szCs w:val="28"/>
        </w:rPr>
        <w:t xml:space="preserve">человека, в том числе детей дошкольного возраста</w:t>
      </w:r>
      <w:r>
        <w:rPr>
          <w:szCs w:val="28"/>
          <w:highlight w:val="white"/>
        </w:rPr>
        <w:t xml:space="preserve"> – 10 (2,2 % общей численности), школьников -  45 (9,7 %), населения трудоспособного возраста - </w:t>
      </w:r>
      <w:r>
        <w:rPr>
          <w:szCs w:val="28"/>
          <w:highlight w:val="white"/>
        </w:rPr>
        <w:t xml:space="preserve">276 (59,7%), из  них 50 человек  работают за  пределами муниципального  района, пенсионеров – 127 (27,5%).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8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На территории сельского поселения находится: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3734 га сельскохозяйственных угодий;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пашни - 2921 га;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сенокосы, пастбища - 1343га;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леса и лесополосы -343 га;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пруды – 3 га.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Протяженность сети дорог- 17.9 км, в том числе: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асфальтированных дорог -17,9 </w:t>
      </w:r>
      <w:r>
        <w:rPr>
          <w:szCs w:val="28"/>
        </w:rPr>
        <w:t xml:space="preserve">км-составляет</w:t>
      </w:r>
      <w:r>
        <w:rPr>
          <w:szCs w:val="28"/>
        </w:rPr>
        <w:t xml:space="preserve"> 100%.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На территории сельского поселения расположен</w:t>
      </w:r>
      <w:r>
        <w:rPr>
          <w:szCs w:val="28"/>
          <w:highlight w:val="white"/>
        </w:rPr>
        <w:t xml:space="preserve">о 201</w:t>
      </w:r>
      <w:r>
        <w:rPr>
          <w:szCs w:val="28"/>
        </w:rPr>
        <w:t xml:space="preserve">домовладение, из них: 99% жилых домов газифицировано,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электрифицировано 100%,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телефонизировано78 %,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пользуются водой из водопроводных сетей 98 %,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уличное асфальтирование 100%.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Улицы сельского поселения освещают 93 фонаря, которых  достаточно для нормального освещения всех улиц.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r>
        <w:rPr>
          <w:szCs w:val="28"/>
        </w:rPr>
        <w:t xml:space="preserve">умерших</w:t>
      </w:r>
      <w:r>
        <w:rPr>
          <w:szCs w:val="28"/>
        </w:rPr>
        <w:t xml:space="preserve">, над числом родившихся.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Несмотря на реализацию мероприятий по улучшению демографи</w:t>
      </w:r>
      <w:r>
        <w:rPr>
          <w:szCs w:val="28"/>
        </w:rPr>
        <w:t xml:space="preserve">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    На территории сельского поселения функционирует МБОУ «ООШ  с</w:t>
      </w:r>
      <w:r>
        <w:rPr>
          <w:szCs w:val="28"/>
        </w:rPr>
        <w:t xml:space="preserve">.Л</w:t>
      </w:r>
      <w:r>
        <w:rPr>
          <w:szCs w:val="28"/>
        </w:rPr>
        <w:t xml:space="preserve">убяное –Первое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Белгородской области», на данный момент  в  ней обучается  37 учащийся, а также структурное подразделение детский сад «Теремок », на данный момент посещают 8 детей.</w:t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600" w:leader="none"/>
        </w:tabs>
        <w:rPr>
          <w:szCs w:val="28"/>
        </w:rPr>
      </w:pPr>
      <w:r>
        <w:rPr>
          <w:szCs w:val="28"/>
        </w:rPr>
        <w:t xml:space="preserve">         В двух населенных пунктах  имеются  </w:t>
      </w:r>
      <w:r>
        <w:rPr>
          <w:szCs w:val="28"/>
        </w:rPr>
        <w:t xml:space="preserve">ФАПы</w:t>
      </w:r>
      <w:r>
        <w:rPr>
          <w:szCs w:val="28"/>
        </w:rPr>
        <w:t xml:space="preserve">, но функционирует только один </w:t>
      </w:r>
      <w:r>
        <w:rPr>
          <w:szCs w:val="28"/>
        </w:rPr>
        <w:t xml:space="preserve">в</w:t>
      </w:r>
      <w:r>
        <w:rPr>
          <w:szCs w:val="28"/>
        </w:rPr>
        <w:t xml:space="preserve"> с.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В селе </w:t>
      </w:r>
      <w:r>
        <w:rPr>
          <w:szCs w:val="28"/>
        </w:rPr>
        <w:t xml:space="preserve">Становое</w:t>
      </w:r>
      <w:r>
        <w:rPr>
          <w:szCs w:val="28"/>
        </w:rPr>
        <w:t xml:space="preserve"> имеется   </w:t>
      </w:r>
      <w:r>
        <w:rPr>
          <w:szCs w:val="28"/>
        </w:rPr>
        <w:t xml:space="preserve">Святотроицкий</w:t>
      </w:r>
      <w:r>
        <w:rPr>
          <w:szCs w:val="28"/>
        </w:rPr>
        <w:t xml:space="preserve"> храм.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В селе имеется  </w:t>
      </w:r>
      <w:r>
        <w:rPr>
          <w:szCs w:val="28"/>
        </w:rPr>
        <w:t xml:space="preserve">Лубянский</w:t>
      </w:r>
      <w:r>
        <w:rPr>
          <w:szCs w:val="28"/>
        </w:rPr>
        <w:t xml:space="preserve">  центральный сельский дом культуры, сельская  поселенческая библиотека.      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На  территории  сельского поселения функционирует 3 магазина.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Проводится  работа по  развитию  малого предпринимательства. На  </w:t>
      </w:r>
      <w:r>
        <w:rPr>
          <w:szCs w:val="28"/>
        </w:rPr>
        <w:t xml:space="preserve">селезарегистрировано</w:t>
      </w:r>
      <w:r>
        <w:rPr>
          <w:szCs w:val="28"/>
        </w:rPr>
        <w:t xml:space="preserve"> и осуществляют свою деятельность 9 субъектов  малого бизнеса (ИП).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  <w:highlight w:val="yellow"/>
        </w:rPr>
      </w:pPr>
      <w:r>
        <w:rPr>
          <w:szCs w:val="28"/>
        </w:rPr>
        <w:t xml:space="preserve">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</w:t>
      </w:r>
      <w:r>
        <w:rPr>
          <w:szCs w:val="28"/>
        </w:rPr>
        <w:t xml:space="preserve">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Cs w:val="28"/>
        </w:rPr>
      </w:pPr>
      <w:r>
        <w:rPr>
          <w:szCs w:val="28"/>
        </w:rPr>
        <w:t xml:space="preserve">Сфера </w:t>
      </w:r>
      <w:r>
        <w:rPr>
          <w:szCs w:val="28"/>
        </w:rPr>
        <w:t xml:space="preserve">культурно-досуговой</w:t>
      </w:r>
      <w:r>
        <w:rPr>
          <w:szCs w:val="28"/>
        </w:rPr>
        <w:t xml:space="preserve">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</w:t>
      </w:r>
      <w:r>
        <w:rPr>
          <w:szCs w:val="28"/>
        </w:rPr>
        <w:t xml:space="preserve">досуговых</w:t>
      </w:r>
      <w:r>
        <w:rPr>
          <w:szCs w:val="28"/>
        </w:rPr>
        <w:t xml:space="preserve">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</w:t>
      </w:r>
      <w:r>
        <w:rPr>
          <w:szCs w:val="28"/>
        </w:rPr>
        <w:t xml:space="preserve">культурно-досуговых</w:t>
      </w:r>
      <w:r>
        <w:rPr>
          <w:szCs w:val="28"/>
        </w:rPr>
        <w:t xml:space="preserve"> учреждений. </w:t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Cs w:val="28"/>
        </w:rPr>
      </w:pPr>
      <w:r>
        <w:rPr>
          <w:szCs w:val="28"/>
        </w:rPr>
        <w:t xml:space="preserve">В  хозяйственном  отношении  территория  сельского поселения  освоена  хорошо. На  территории  поселения  имеется  </w:t>
      </w:r>
      <w:r>
        <w:rPr>
          <w:szCs w:val="28"/>
        </w:rPr>
        <w:t xml:space="preserve">бюджетообразующее</w:t>
      </w:r>
      <w:r>
        <w:rPr>
          <w:szCs w:val="28"/>
        </w:rPr>
        <w:t xml:space="preserve">  сельхозпредприятие – ЗАО </w:t>
      </w:r>
      <w:r>
        <w:rPr>
          <w:szCs w:val="28"/>
        </w:rPr>
        <w:t xml:space="preserve">Агросоюз</w:t>
      </w:r>
      <w:r>
        <w:rPr>
          <w:szCs w:val="28"/>
        </w:rPr>
        <w:t xml:space="preserve"> «</w:t>
      </w:r>
      <w:r>
        <w:rPr>
          <w:szCs w:val="28"/>
        </w:rPr>
        <w:t xml:space="preserve">Авида</w:t>
      </w:r>
      <w:r>
        <w:rPr>
          <w:szCs w:val="28"/>
        </w:rPr>
        <w:t xml:space="preserve">» и ЗАО «Молоко Белогорья», на этих предприятиях  работают 109 человек</w:t>
      </w:r>
      <w:r>
        <w:rPr>
          <w:szCs w:val="28"/>
        </w:rPr>
        <w:t xml:space="preserve"> .</w:t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  <w:r/>
    </w:p>
    <w:p>
      <w:pPr>
        <w:jc w:val="both"/>
        <w:tabs>
          <w:tab w:val="left" w:pos="480" w:leader="none"/>
        </w:tabs>
        <w:rPr>
          <w:szCs w:val="28"/>
          <w:highlight w:val="white"/>
        </w:rPr>
      </w:pPr>
      <w:r>
        <w:rPr>
          <w:szCs w:val="28"/>
        </w:rPr>
        <w:tab/>
        <w:t xml:space="preserve">За период с 2020 года по 2024 год на тер</w:t>
      </w:r>
      <w:r>
        <w:rPr>
          <w:szCs w:val="28"/>
          <w:highlight w:val="white"/>
        </w:rPr>
        <w:t xml:space="preserve">ритории </w:t>
      </w:r>
      <w:r>
        <w:rPr>
          <w:szCs w:val="28"/>
          <w:highlight w:val="white"/>
        </w:rPr>
        <w:t xml:space="preserve">Лубянском</w:t>
      </w:r>
      <w:r>
        <w:rPr>
          <w:szCs w:val="28"/>
          <w:highlight w:val="white"/>
        </w:rPr>
        <w:t xml:space="preserve"> сельского поселения проведен капитальный ремонт памятника «</w:t>
      </w:r>
      <w:r>
        <w:rPr>
          <w:highlight w:val="white"/>
        </w:rPr>
        <w:t xml:space="preserve">Памятник Советского воина»</w:t>
      </w:r>
      <w:r>
        <w:rPr>
          <w:szCs w:val="28"/>
          <w:highlight w:val="white"/>
        </w:rPr>
        <w:t xml:space="preserve">, а также благоустроена территория вокруг памятника, в честь 75-летия Великой Победы была заложена «Аллея памяти »,   обустройство зоны отдыха вокруг родника «Панский колодец» в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</w:rPr>
        <w:t xml:space="preserve">.Л</w:t>
      </w:r>
      <w:r>
        <w:rPr>
          <w:szCs w:val="28"/>
          <w:highlight w:val="white"/>
        </w:rPr>
        <w:t xml:space="preserve">убяное-Первое</w:t>
      </w:r>
      <w:r>
        <w:rPr>
          <w:szCs w:val="28"/>
          <w:highlight w:val="white"/>
        </w:rPr>
        <w:t xml:space="preserve">, произведен ремонт центральной дороги с твердым покрытием.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-поддержание здания администрации в надлежащем соответствии;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- поддержание памятника погибшим воинам в надлежащем состоянии;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увеличить количество зеленых насаждений;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  <w:highlight w:val="white"/>
        </w:rPr>
      </w:pPr>
      <w:r>
        <w:rPr>
          <w:szCs w:val="28"/>
        </w:rPr>
        <w:t xml:space="preserve">- у</w:t>
      </w:r>
      <w:r>
        <w:rPr>
          <w:szCs w:val="28"/>
          <w:highlight w:val="white"/>
        </w:rPr>
        <w:t xml:space="preserve">величить количество контейнеров для сбора ТКО;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spacing w:line="27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- для нормального роста и развития газонов установить поливальные установки;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период с 2015 по 2025 года в селе Лубяно</w:t>
      </w:r>
      <w:r>
        <w:rPr>
          <w:szCs w:val="28"/>
          <w:highlight w:val="white"/>
        </w:rPr>
        <w:t xml:space="preserve">е-</w:t>
      </w:r>
      <w:r>
        <w:rPr>
          <w:szCs w:val="28"/>
          <w:highlight w:val="white"/>
        </w:rPr>
        <w:t xml:space="preserve"> Первое было разбито 5 цветников по улице Школьной, а также дополнительно посажено 1500 деревьев, 1000 кустарников и 1500 многолетних цветов.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  <w:highlight w:val="white"/>
        </w:rPr>
        <w:t xml:space="preserve">Анализ свидетельствует о небольшом потенциа</w:t>
      </w:r>
      <w:r>
        <w:rPr>
          <w:szCs w:val="28"/>
        </w:rPr>
        <w:t xml:space="preserve">ле сельского поселения и вместе с этим выявляется наличие определенных социально экономических проблем, сопутствующим нынешнему этапу развития.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поселения».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  <w:r>
        <w:rPr>
          <w:szCs w:val="28"/>
        </w:rPr>
      </w:r>
      <w:r>
        <w:rPr>
          <w:szCs w:val="28"/>
        </w:rPr>
      </w:r>
    </w:p>
    <w:p>
      <w:r/>
      <w:r/>
      <w:r/>
    </w:p>
    <w:p>
      <w:r/>
      <w:r/>
      <w:r/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r/>
      <w:r/>
      <w:r/>
    </w:p>
    <w:p>
      <w:pPr>
        <w:ind w:firstLine="709"/>
        <w:jc w:val="both"/>
        <w:spacing w:line="276" w:lineRule="auto"/>
        <w:widowControl w:val="off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widowControl w:val="off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муниципальной программы включает в себя: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  увеличение доли отдыхающих в местах отдыха к 2030 году до 65%;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</w:t>
      </w:r>
      <w:r>
        <w:rPr>
          <w:rFonts w:eastAsiaTheme="minorEastAsia"/>
          <w:szCs w:val="28"/>
        </w:rPr>
        <w:t xml:space="preserve">увеличение доли посещения на детской площадке к 2030 году до 85%.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eastAsia="Arial"/>
          <w:iCs/>
          <w:szCs w:val="28"/>
        </w:rPr>
        <w:t xml:space="preserve">озданию</w:t>
      </w:r>
      <w:r>
        <w:rPr>
          <w:rFonts w:eastAsia="Arial"/>
          <w:szCs w:val="28"/>
        </w:rPr>
        <w:t xml:space="preserve"> благоприятных социально-бытовых условий проживания населения на территории поселения</w:t>
      </w:r>
      <w:r>
        <w:rPr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муниципальной программы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line="276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2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3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r>
        <w:rPr>
          <w:szCs w:val="28"/>
        </w:rPr>
        <w:t xml:space="preserve"> и на плановый период до 2030 года, ут</w:t>
      </w:r>
      <w:r>
        <w:rPr>
          <w:szCs w:val="28"/>
        </w:rPr>
        <w:t xml:space="preserve">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276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</w:t>
      </w:r>
      <w:r>
        <w:rPr>
          <w:szCs w:val="28"/>
        </w:rPr>
        <w:t xml:space="preserve">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государственных программ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«Формирование современной городской среды на территории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line="276" w:lineRule="auto"/>
        <w:widowControl w:val="off"/>
        <w:rPr>
          <w:szCs w:val="28"/>
        </w:rPr>
      </w:pPr>
      <w:r>
        <w:rPr>
          <w:b/>
          <w:bCs/>
          <w:szCs w:val="28"/>
        </w:rPr>
        <w:tab/>
      </w: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widowControl w:val="off"/>
        <w:rPr>
          <w:szCs w:val="28"/>
        </w:rPr>
        <w:sectPr>
          <w:footnotePr/>
          <w:endnotePr/>
          <w:type w:val="nextPage"/>
          <w:pgSz w:w="11906" w:h="16838" w:orient="portrait"/>
          <w:pgMar w:top="964" w:right="567" w:bottom="964" w:left="1701" w:header="709" w:footer="709" w:gutter="0"/>
          <w:cols w:num="1" w:sep="0" w:space="720" w:equalWidth="1"/>
          <w:docGrid w:linePitch="360"/>
        </w:sectPr>
      </w:pPr>
      <w:r>
        <w:rPr>
          <w:szCs w:val="28"/>
        </w:rPr>
        <w:t xml:space="preserve">По направлению (подпрограмме) «Благоустройство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 определена ключевая задача: </w:t>
      </w:r>
      <w:r>
        <w:rPr>
          <w:rFonts w:eastAsiaTheme="minorEastAsia"/>
          <w:szCs w:val="28"/>
        </w:rPr>
        <w:t xml:space="preserve">создание условий для организации благоустройства территории </w:t>
      </w:r>
      <w:r>
        <w:rPr>
          <w:rFonts w:eastAsiaTheme="minorEastAsia"/>
          <w:szCs w:val="28"/>
        </w:rPr>
        <w:t xml:space="preserve">Лубянского</w:t>
      </w:r>
      <w:r>
        <w:rPr>
          <w:rFonts w:eastAsiaTheme="minorEastAsia"/>
          <w:szCs w:val="28"/>
        </w:rPr>
        <w:t xml:space="preserve">  сельского поселения</w:t>
      </w:r>
      <w:r>
        <w:rPr>
          <w:szCs w:val="28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  <w:t xml:space="preserve">Лубянского</w:t>
      </w:r>
      <w:r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Чернянского</w:t>
      </w:r>
      <w:r>
        <w:rPr>
          <w:b/>
          <w:bCs/>
          <w:sz w:val="22"/>
          <w:szCs w:val="22"/>
        </w:rPr>
        <w:t xml:space="preserve"> района Белгородской области»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 Основные положения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Гончарова Валентина Николаевна- глава администрации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Прохорова Татьяна Кузьминична – главный специалист управляющая делами администрации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2025- 2030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</w:t>
            </w:r>
            <w:r>
              <w:rPr>
                <w:sz w:val="22"/>
                <w:szCs w:val="22"/>
              </w:rPr>
              <w:t xml:space="preserve">ь(</w:t>
            </w:r>
            <w:r>
              <w:rPr>
                <w:sz w:val="22"/>
                <w:szCs w:val="22"/>
              </w:rPr>
              <w:t xml:space="preserve">и) муниципальной программы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1 «</w:t>
            </w:r>
            <w:r>
              <w:rPr>
                <w:rFonts w:eastAsia="Arial"/>
                <w:sz w:val="22"/>
                <w:szCs w:val="22"/>
              </w:rPr>
              <w:t xml:space="preserve">Благоустройство </w:t>
            </w:r>
            <w:r>
              <w:rPr>
                <w:rFonts w:eastAsia="Arial"/>
                <w:sz w:val="22"/>
                <w:szCs w:val="22"/>
              </w:rPr>
              <w:t xml:space="preserve">Лубянского</w:t>
            </w:r>
            <w:r>
              <w:rPr>
                <w:rFonts w:eastAsia="Arial"/>
                <w:sz w:val="22"/>
                <w:szCs w:val="22"/>
              </w:rPr>
              <w:t xml:space="preserve">  сельского поселения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муниципальной программой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</w:t>
            </w:r>
            <w:r>
              <w:rPr>
                <w:sz w:val="20"/>
                <w:highlight w:val="green"/>
              </w:rPr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pStyle w:val="733"/>
              <w:numPr>
                <w:ilvl w:val="0"/>
                <w:numId w:val="23"/>
              </w:numPr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33"/>
              <w:numPr>
                <w:ilvl w:val="0"/>
                <w:numId w:val="23"/>
              </w:numPr>
              <w:ind w:left="0" w:firstLine="360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/ стратегическими приоритетами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до 2025 года - повышение благосостояния населения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</w:t>
      </w:r>
      <w:r>
        <w:rPr>
          <w:b/>
          <w:bCs/>
          <w:iCs/>
          <w:sz w:val="22"/>
          <w:szCs w:val="22"/>
        </w:rPr>
        <w:t xml:space="preserve">программы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1418"/>
        <w:gridCol w:w="1041"/>
        <w:gridCol w:w="1227"/>
        <w:gridCol w:w="1023"/>
        <w:gridCol w:w="859"/>
        <w:gridCol w:w="573"/>
        <w:gridCol w:w="574"/>
        <w:gridCol w:w="429"/>
        <w:gridCol w:w="429"/>
        <w:gridCol w:w="573"/>
        <w:gridCol w:w="430"/>
        <w:gridCol w:w="582"/>
        <w:gridCol w:w="954"/>
        <w:gridCol w:w="1498"/>
        <w:gridCol w:w="1363"/>
        <w:gridCol w:w="1772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3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2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002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4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9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6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</w:t>
            </w:r>
            <w:r>
              <w:rPr>
                <w:sz w:val="20"/>
              </w:rPr>
              <w:t xml:space="preserve">Чернянского</w:t>
            </w:r>
            <w:r>
              <w:rPr>
                <w:sz w:val="20"/>
              </w:rPr>
              <w:t xml:space="preserve"> района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6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1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2030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07" w:type="dxa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Arial"/>
                <w:iCs/>
                <w:sz w:val="22"/>
                <w:szCs w:val="22"/>
              </w:rPr>
              <w:t xml:space="preserve">Создание</w:t>
            </w:r>
            <w:r>
              <w:rPr>
                <w:rFonts w:eastAsia="Arial"/>
                <w:sz w:val="22"/>
                <w:szCs w:val="22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5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1" w:type="dxa"/>
            <w:textDirection w:val="lrTb"/>
            <w:noWrap/>
          </w:tcPr>
          <w:p>
            <w:pPr>
              <w:pStyle w:val="901"/>
              <w:ind w:hanging="15"/>
              <w:jc w:val="both"/>
              <w:widowControl/>
              <w:rPr>
                <w:i/>
                <w:strike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 </w:t>
            </w:r>
            <w:r>
              <w:rPr>
                <w:i/>
                <w:strike/>
                <w:sz w:val="22"/>
                <w:szCs w:val="22"/>
              </w:rPr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3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8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5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61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62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63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8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9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Cs/>
                <w:spacing w:val="-2"/>
                <w:sz w:val="20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Cs/>
                <w:spacing w:val="-2"/>
                <w:sz w:val="20"/>
              </w:rPr>
            </w:r>
            <w:r>
              <w:rPr>
                <w:iCs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iCs/>
                <w:sz w:val="20"/>
              </w:rPr>
              <w:t xml:space="preserve">Лубянского</w:t>
            </w:r>
            <w:r>
              <w:rPr>
                <w:iCs/>
                <w:sz w:val="20"/>
              </w:rPr>
              <w:t xml:space="preserve">  сельского поселения</w: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textDirection w:val="lrTb"/>
            <w:noWrap/>
          </w:tcPr>
          <w:p>
            <w:pPr>
              <w:pStyle w:val="733"/>
              <w:ind w:left="0"/>
              <w:jc w:val="both"/>
              <w:spacing w:line="0" w:lineRule="atLeast"/>
              <w:tabs>
                <w:tab w:val="left" w:pos="272" w:leader="none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5" w:type="dxa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1" w:type="dxa"/>
            <w:textDirection w:val="lrTb"/>
            <w:noWrap/>
          </w:tcPr>
          <w:p>
            <w:pPr>
              <w:rPr>
                <w:i/>
                <w:strike/>
                <w:spacing w:val="-2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i/>
                <w:strike/>
                <w:spacing w:val="-2"/>
                <w:sz w:val="22"/>
                <w:szCs w:val="22"/>
              </w:rPr>
            </w:r>
            <w:r>
              <w:rPr>
                <w:i/>
                <w:strike/>
                <w:spacing w:val="-2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36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1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8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5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1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81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82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83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8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84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9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85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iCs/>
                <w:sz w:val="20"/>
              </w:rPr>
              <w:t xml:space="preserve">Лубянского</w:t>
            </w:r>
            <w:r>
              <w:rPr>
                <w:iCs/>
                <w:sz w:val="20"/>
              </w:rPr>
              <w:t xml:space="preserve">  сельского поселения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</w:t>
            </w:r>
            <w:r>
              <w:rPr>
                <w:sz w:val="20"/>
              </w:rPr>
              <w:t xml:space="preserve">для жизни в опорных населенных пунктах на 30 процентов к 2030 году и на 60 процентов к 2036 году»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textDirection w:val="lrTb"/>
            <w:noWrap/>
          </w:tcPr>
          <w:p>
            <w:pPr>
              <w:jc w:val="both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</w:t>
            </w:r>
            <w:r>
              <w:rPr>
                <w:sz w:val="20"/>
              </w:rPr>
              <w:t xml:space="preserve">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</w:pPr>
      <w:r>
        <w:rPr>
          <w:b/>
          <w:bCs/>
          <w:sz w:val="20"/>
        </w:rPr>
        <w:t xml:space="preserve">3. Помесячный план достижения показателей муниципальной программы в 2025 году</w:t>
      </w:r>
      <w:r/>
      <w:r/>
    </w:p>
    <w:p>
      <w:pPr>
        <w:jc w:val="center"/>
        <w:spacing w:line="0" w:lineRule="atLeast"/>
        <w:tabs>
          <w:tab w:val="left" w:pos="993" w:leader="none"/>
        </w:tabs>
      </w:pPr>
      <w:r/>
      <w:r/>
      <w:r/>
    </w:p>
    <w:tbl>
      <w:tblPr>
        <w:tblW w:w="51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04"/>
        <w:gridCol w:w="4006"/>
        <w:gridCol w:w="1714"/>
        <w:gridCol w:w="1700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505"/>
        <w:gridCol w:w="1668"/>
      </w:tblGrid>
      <w:tr>
        <w:trPr>
          <w:trHeight w:val="306"/>
          <w:tblHeader/>
        </w:trPr>
        <w:tc>
          <w:tcPr>
            <w:tcW w:w="193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tcW w:w="208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</w:t>
            </w:r>
            <w:r>
              <w:rPr>
                <w:sz w:val="20"/>
              </w:rPr>
              <w:t xml:space="preserve"> 2025 года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306"/>
          <w:tblHeader/>
        </w:trPr>
        <w:tc>
          <w:tcPr>
            <w:tcW w:w="193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06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4807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Создание условий для организации благоустройства территории </w:t>
            </w:r>
            <w:r>
              <w:rPr>
                <w:rFonts w:eastAsiaTheme="minorEastAsia"/>
                <w:sz w:val="20"/>
              </w:rPr>
              <w:t xml:space="preserve">Лубянского</w:t>
            </w:r>
            <w:r>
              <w:rPr>
                <w:rFonts w:eastAsiaTheme="minorEastAsia"/>
                <w:sz w:val="20"/>
              </w:rPr>
              <w:t xml:space="preserve"> сельского поселения.  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06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textDirection w:val="lrTb"/>
            <w:noWrap/>
          </w:tcPr>
          <w:p>
            <w:pPr>
              <w:pStyle w:val="901"/>
              <w:ind w:right="68"/>
              <w:jc w:val="both"/>
              <w:widowControl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717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0" w:lineRule="atLeast"/>
        <w:tabs>
          <w:tab w:val="left" w:pos="993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Структура муниципальной программы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3"/>
        <w:tblW w:w="519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997"/>
        <w:gridCol w:w="8133"/>
        <w:gridCol w:w="79"/>
        <w:gridCol w:w="2553"/>
      </w:tblGrid>
      <w:tr>
        <w:trPr>
          <w:trHeight w:val="669"/>
          <w:tblHeader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86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86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47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57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 Направление (подпрограмма) «</w:t>
            </w:r>
            <w:r>
              <w:rPr>
                <w:rFonts w:eastAsia="Arial"/>
                <w:sz w:val="20"/>
                <w:szCs w:val="20"/>
              </w:rPr>
              <w:t xml:space="preserve">Благоустройство </w:t>
            </w:r>
            <w:r>
              <w:rPr>
                <w:rFonts w:eastAsia="Arial"/>
                <w:sz w:val="20"/>
                <w:szCs w:val="20"/>
              </w:rPr>
              <w:t xml:space="preserve">Лубянского</w:t>
            </w:r>
            <w:r>
              <w:rPr>
                <w:rFonts w:eastAsia="Arial"/>
                <w:sz w:val="20"/>
                <w:szCs w:val="20"/>
              </w:rPr>
              <w:t xml:space="preserve">  сельского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47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57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Arial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Лубянского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сельского поселения муниципального района «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Чернянский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542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2025-2030 года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</w:rPr>
            </w:pPr>
            <w:r>
              <w:rPr>
                <w:rFonts w:eastAsia="Arial" w:cs="Times New Roman"/>
                <w:sz w:val="20"/>
                <w:szCs w:val="20"/>
              </w:rPr>
              <w:t xml:space="preserve">Задача</w:t>
            </w:r>
            <w:r>
              <w:rPr>
                <w:rFonts w:eastAsia="Arial" w:cs="Times New Roman"/>
                <w:sz w:val="20"/>
                <w:szCs w:val="20"/>
              </w:rPr>
              <w:t xml:space="preserve">«О</w:t>
            </w:r>
            <w:r>
              <w:rPr>
                <w:rFonts w:eastAsia="Arial" w:cs="Times New Roman"/>
                <w:sz w:val="20"/>
                <w:szCs w:val="20"/>
              </w:rPr>
              <w:t xml:space="preserve">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2"/>
              </w:rPr>
            </w:r>
            <w:r>
              <w:rPr>
                <w:rFonts w:eastAsia="Times New Roman" w:cs="Times New Roman"/>
                <w:sz w:val="22"/>
              </w:rPr>
            </w:r>
          </w:p>
        </w:tc>
        <w:tc>
          <w:tcPr>
            <w:gridSpan w:val="2"/>
            <w:tcW w:w="2702" w:type="pct"/>
            <w:vAlign w:val="center"/>
            <w:textDirection w:val="lrTb"/>
            <w:noWrap/>
          </w:tcPr>
          <w:p>
            <w:pPr>
              <w:ind w:firstLine="0"/>
              <w:widowControl w:val="off"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  <w:tc>
          <w:tcPr>
            <w:tcW w:w="840" w:type="pct"/>
            <w:vAlign w:val="center"/>
            <w:textDirection w:val="lrTb"/>
            <w:noWrap/>
          </w:tcPr>
          <w:p>
            <w:pPr>
              <w:pStyle w:val="901"/>
              <w:numPr>
                <w:ilvl w:val="0"/>
                <w:numId w:val="22"/>
              </w:numPr>
              <w:jc w:val="both"/>
              <w:widowControl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отдыхающих в местах отдыха;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pStyle w:val="901"/>
              <w:numPr>
                <w:ilvl w:val="0"/>
                <w:numId w:val="22"/>
              </w:numPr>
              <w:jc w:val="both"/>
              <w:widowControl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посещения на детской площадке. 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</w:tr>
    </w:tbl>
    <w:p>
      <w:pPr>
        <w:tabs>
          <w:tab w:val="left" w:pos="9390" w:leader="none"/>
        </w:tabs>
      </w:pPr>
      <w:r/>
      <w:r/>
      <w:r/>
    </w:p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муниципальной программы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3"/>
        <w:tblW w:w="517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5"/>
        <w:gridCol w:w="2122"/>
        <w:gridCol w:w="1277"/>
        <w:gridCol w:w="1134"/>
        <w:gridCol w:w="850"/>
        <w:gridCol w:w="850"/>
        <w:gridCol w:w="850"/>
        <w:gridCol w:w="850"/>
        <w:gridCol w:w="1229"/>
      </w:tblGrid>
      <w:tr>
        <w:trPr>
          <w:trHeight w:val="476"/>
          <w:tblHeader/>
        </w:trPr>
        <w:tc>
          <w:tcPr>
            <w:tcW w:w="5985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2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</w:p>
        </w:tc>
        <w:tc>
          <w:tcPr>
            <w:gridSpan w:val="7"/>
            <w:tcW w:w="704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5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2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2028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2029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2030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212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27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Муниципальная программа «</w:t>
            </w:r>
            <w:r>
              <w:rPr>
                <w:b/>
                <w:bCs/>
                <w:sz w:val="22"/>
              </w:rPr>
              <w:t xml:space="preserve">Устойчивое развитие сельских территорий </w:t>
            </w:r>
            <w:r>
              <w:rPr>
                <w:b/>
                <w:bCs/>
                <w:sz w:val="22"/>
              </w:rPr>
              <w:t xml:space="preserve">Лубянского</w:t>
            </w:r>
            <w:r>
              <w:rPr>
                <w:b/>
                <w:bCs/>
                <w:sz w:val="22"/>
              </w:rPr>
              <w:t xml:space="preserve"> сельского поселения </w:t>
            </w:r>
            <w:r>
              <w:rPr>
                <w:b/>
                <w:bCs/>
                <w:sz w:val="22"/>
              </w:rPr>
              <w:t xml:space="preserve">Чернянского</w:t>
            </w:r>
            <w:r>
              <w:rPr>
                <w:b/>
                <w:bCs/>
                <w:sz w:val="22"/>
              </w:rPr>
              <w:t xml:space="preserve"> района Белгородской области</w:t>
            </w:r>
            <w:r>
              <w:rPr>
                <w:b/>
                <w:bCs/>
                <w:sz w:val="22"/>
              </w:rPr>
              <w:t xml:space="preserve">»</w:t>
            </w:r>
            <w:r>
              <w:rPr>
                <w:rFonts w:cs="Times New Roman"/>
                <w:b/>
                <w:sz w:val="22"/>
                <w:highlight w:val="white"/>
              </w:rPr>
              <w:t xml:space="preserve">(</w:t>
            </w:r>
            <w:r>
              <w:rPr>
                <w:rFonts w:cs="Times New Roman"/>
                <w:b/>
                <w:sz w:val="22"/>
                <w:highlight w:val="white"/>
              </w:rPr>
              <w:t xml:space="preserve">всего), в том числе: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347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spacing w:line="233" w:lineRule="auto"/>
              <w:rPr>
                <w:b/>
                <w:bCs/>
                <w:sz w:val="22"/>
                <w:highlight w:val="white"/>
              </w:rPr>
            </w:pPr>
            <w:r>
              <w:rPr>
                <w:b/>
                <w:bCs/>
                <w:sz w:val="22"/>
                <w:highlight w:val="white"/>
              </w:rPr>
              <w:t xml:space="preserve">- вне</w:t>
            </w:r>
            <w:r>
              <w:rPr>
                <w:b/>
                <w:bCs/>
                <w:sz w:val="22"/>
              </w:rPr>
              <w:t xml:space="preserve">бюджетные источники</w:t>
            </w:r>
            <w:r>
              <w:rPr>
                <w:b/>
                <w:bCs/>
                <w:sz w:val="22"/>
                <w:highlight w:val="white"/>
              </w:rPr>
            </w:r>
            <w:r>
              <w:rPr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Комплекс процессных  мероприятий «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Паспорт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 «Реализация мероприятий по с</w:t>
      </w:r>
      <w:r>
        <w:rPr>
          <w:rFonts w:eastAsia="Arial"/>
          <w:b/>
          <w:bCs/>
          <w:iCs/>
          <w:sz w:val="20"/>
        </w:rPr>
        <w:t xml:space="preserve">озданию</w:t>
      </w:r>
      <w:r>
        <w:rPr>
          <w:rFonts w:eastAsia="Arial"/>
          <w:b/>
          <w:bCs/>
          <w:sz w:val="20"/>
        </w:rPr>
        <w:t xml:space="preserve"> благоприятных социально-бытовых условий проживания населения на территории поселения</w:t>
      </w:r>
      <w:r>
        <w:rPr>
          <w:b/>
          <w:bCs/>
          <w:sz w:val="20"/>
        </w:rPr>
        <w:t xml:space="preserve">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1. Общие положения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  <w:r/>
    </w:p>
    <w:tbl>
      <w:tblPr>
        <w:tblStyle w:val="90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1"/>
        <w:gridCol w:w="855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</w:t>
            </w:r>
            <w:r>
              <w:rPr>
                <w:rFonts w:cs="Times New Roman"/>
                <w:bCs/>
                <w:sz w:val="20"/>
              </w:rPr>
              <w:t xml:space="preserve">Лубянского</w:t>
            </w:r>
            <w:r>
              <w:rPr>
                <w:rFonts w:cs="Times New Roman"/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rFonts w:cs="Times New Roman"/>
                <w:bCs/>
                <w:sz w:val="20"/>
              </w:rPr>
              <w:t xml:space="preserve">Чернянский</w:t>
            </w:r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cs="Times New Roman"/>
                <w:bCs/>
                <w:sz w:val="20"/>
              </w:rPr>
              <w:t xml:space="preserve">Лубянского</w:t>
            </w:r>
            <w:r>
              <w:rPr>
                <w:rFonts w:cs="Times New Roman"/>
                <w:bCs/>
                <w:sz w:val="20"/>
              </w:rPr>
              <w:t xml:space="preserve">  сельского поселения </w:t>
            </w:r>
            <w:r>
              <w:rPr>
                <w:rFonts w:cs="Times New Roman"/>
                <w:bCs/>
                <w:sz w:val="20"/>
              </w:rPr>
              <w:t xml:space="preserve">Чернянского</w:t>
            </w:r>
            <w:r>
              <w:rPr>
                <w:rFonts w:cs="Times New Roman"/>
                <w:bCs/>
                <w:sz w:val="20"/>
              </w:rPr>
              <w:t xml:space="preserve"> района Белгородской области»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</w:tbl>
    <w:p>
      <w:pPr>
        <w:jc w:val="both"/>
      </w:pPr>
      <w:r/>
      <w:r/>
      <w:r/>
    </w:p>
    <w:p>
      <w:pPr>
        <w:jc w:val="center"/>
        <w:spacing w:line="0" w:lineRule="atLeast"/>
        <w:tabs>
          <w:tab w:val="left" w:pos="993" w:leader="none"/>
        </w:tabs>
      </w:pPr>
      <w:r>
        <w:rPr>
          <w:b/>
          <w:bCs/>
          <w:sz w:val="20"/>
        </w:rPr>
        <w:t xml:space="preserve">2. Показатели комплекса процессных мероприятий</w:t>
      </w:r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shd w:val="clear" w:color="ffffff" w:fill="ffffff"/>
            <w:tcW w:w="355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64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3"/>
            <w:shd w:val="clear" w:color="ffffff" w:fill="ffffff"/>
            <w:tcW w:w="14374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eastAsiaTheme="minorEastAsia"/>
                <w:sz w:val="20"/>
              </w:rPr>
              <w:t xml:space="preserve">.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60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Лубянского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rPr>
                <w:rFonts w:eastAsia="Arial Unicode MS"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80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Лубянского</w:t>
            </w:r>
            <w:r>
              <w:rPr>
                <w:sz w:val="20"/>
              </w:rPr>
              <w:t xml:space="preserve"> 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43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332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rPr>
                <w:rFonts w:eastAsia="Arial Unicode MS"/>
                <w:i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rPr>
                <w:rFonts w:eastAsiaTheme="minorEastAsia"/>
                <w:strike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Theme="minorEastAsia"/>
                <w:strike/>
                <w:sz w:val="20"/>
              </w:rPr>
            </w:r>
            <w:r>
              <w:rPr>
                <w:rFonts w:eastAsiaTheme="minorEastAsia"/>
                <w:strike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  <w:r/>
    </w:p>
    <w:tbl>
      <w:tblPr>
        <w:tblStyle w:val="749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63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/>
          </w:tcPr>
          <w:p>
            <w:pPr>
              <w:ind w:left="41"/>
              <w:jc w:val="both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white"/>
              </w:rPr>
            </w:pPr>
            <w:r>
              <w:rPr>
                <w:rFonts w:eastAsia="Calibri"/>
                <w:sz w:val="20"/>
                <w:highlight w:val="white"/>
              </w:rPr>
              <w:t xml:space="preserve">Приобретение товаров, работ, услуг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ind w:left="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sz w:val="20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</w:pPr>
      <w:r/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3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8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</w:rPr>
              <w:t xml:space="preserve">комплекса процессных мероприятий, мероприятия (результата) и источники финансирования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2028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2029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2030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</w:rPr>
              <w:t xml:space="preserve">Комплекс процессных мероприятий «</w:t>
            </w:r>
            <w:r>
              <w:rPr>
                <w:b/>
                <w:i/>
                <w:sz w:val="20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1618,5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1618,5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spacing w:line="233" w:lineRule="auto"/>
              <w:rPr>
                <w:b/>
                <w:bCs/>
                <w:sz w:val="22"/>
                <w:highlight w:val="white"/>
              </w:rPr>
            </w:pPr>
            <w:r>
              <w:rPr>
                <w:b/>
                <w:bCs/>
                <w:sz w:val="22"/>
                <w:highlight w:val="white"/>
              </w:rPr>
              <w:t xml:space="preserve">- вне</w:t>
            </w:r>
            <w:r>
              <w:rPr>
                <w:b/>
                <w:bCs/>
                <w:sz w:val="22"/>
              </w:rPr>
              <w:t xml:space="preserve">бюджетные источники</w:t>
            </w:r>
            <w:r>
              <w:rPr>
                <w:b/>
                <w:bCs/>
                <w:sz w:val="22"/>
                <w:highlight w:val="white"/>
              </w:rPr>
            </w:r>
            <w:r>
              <w:rPr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41" w:firstLine="0"/>
              <w:rPr>
                <w:bCs/>
                <w:i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Нераспределенный резерв (местный бюджет)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6. План реализации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  <w:r/>
    </w:p>
    <w:tbl>
      <w:tblPr>
        <w:tblStyle w:val="749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№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b/>
                <w:bCs/>
                <w:sz w:val="20"/>
                <w:highlight w:val="white"/>
              </w:rPr>
              <w:t xml:space="preserve">/</w:t>
            </w:r>
            <w:r>
              <w:rPr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контрольная точка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Дата наступления контрольной точки (</w:t>
            </w:r>
            <w:r>
              <w:rPr>
                <w:b/>
                <w:bCs/>
                <w:sz w:val="20"/>
                <w:highlight w:val="white"/>
              </w:rPr>
              <w:t xml:space="preserve">день</w:t>
            </w:r>
            <w:r>
              <w:rPr>
                <w:b/>
                <w:bCs/>
                <w:sz w:val="20"/>
                <w:highlight w:val="white"/>
              </w:rPr>
              <w:t xml:space="preserve">.м</w:t>
            </w:r>
            <w:r>
              <w:rPr>
                <w:b/>
                <w:bCs/>
                <w:sz w:val="20"/>
                <w:highlight w:val="white"/>
              </w:rPr>
              <w:t xml:space="preserve">есяц</w:t>
            </w:r>
            <w:r>
              <w:rPr>
                <w:b/>
                <w:bCs/>
                <w:sz w:val="20"/>
                <w:highlight w:val="white"/>
              </w:rPr>
              <w:t xml:space="preserve">)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Ответственный исполнитель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pStyle w:val="905"/>
              <w:ind w:left="173" w:right="158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Вид </w:t>
            </w:r>
            <w:r>
              <w:rPr>
                <w:b/>
                <w:bCs/>
                <w:sz w:val="20"/>
                <w:highlight w:val="white"/>
              </w:rPr>
              <w:t xml:space="preserve">подтверждающего</w:t>
            </w:r>
            <w:r>
              <w:rPr>
                <w:b/>
                <w:bCs/>
                <w:sz w:val="20"/>
                <w:highlight w:val="white"/>
              </w:rPr>
              <w:t xml:space="preserve"> документ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1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2 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3 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4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bCs/>
                <w:sz w:val="20"/>
                <w:highlight w:val="white"/>
              </w:rPr>
              <w:t xml:space="preserve">.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/>
          </w:tcPr>
          <w:p>
            <w:pPr>
              <w:jc w:val="both"/>
              <w:rPr>
                <w:bCs/>
                <w:i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Задача «</w:t>
            </w:r>
            <w:r>
              <w:rPr>
                <w:rFonts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  <w:p>
            <w:pPr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Гончарова Валентина Николаевна - глава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1.1.1.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  <w:highlight w:val="white"/>
              </w:rPr>
              <w:t xml:space="preserve">, ежегодно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</w:t>
            </w:r>
            <w:r>
              <w:rPr>
                <w:bCs/>
                <w:iCs/>
                <w:sz w:val="20"/>
                <w:highlight w:val="white"/>
                <w:lang w:val="en-US"/>
              </w:rPr>
              <w:t xml:space="preserve">1</w:t>
            </w:r>
            <w:r>
              <w:rPr>
                <w:bCs/>
                <w:iCs/>
                <w:sz w:val="20"/>
                <w:highlight w:val="white"/>
              </w:rPr>
              <w:t xml:space="preserve">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«Закупка включена в план закупок»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05.02-05.03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Договор, контракт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1.1.К.2.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«Произведена приемка поставленных товаров, выполненных работ, </w:t>
            </w:r>
            <w:r>
              <w:rPr>
                <w:bCs/>
                <w:sz w:val="20"/>
                <w:highlight w:val="white"/>
              </w:rPr>
              <w:t xml:space="preserve">оказанный</w:t>
            </w:r>
            <w:r>
              <w:rPr>
                <w:bCs/>
                <w:sz w:val="20"/>
                <w:highlight w:val="white"/>
              </w:rPr>
              <w:t xml:space="preserve"> услуг»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09.06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Акт приема-передачи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1.1.К.3.</w:t>
            </w:r>
            <w:r>
              <w:rPr>
                <w:iCs/>
                <w:sz w:val="20"/>
                <w:highlight w:val="white"/>
              </w:rPr>
            </w:r>
            <w:r>
              <w:rPr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«Произведена оплата товаров, выполненных работ, </w:t>
            </w:r>
            <w:r>
              <w:rPr>
                <w:bCs/>
                <w:sz w:val="20"/>
                <w:highlight w:val="white"/>
              </w:rPr>
              <w:t xml:space="preserve">оказанный</w:t>
            </w:r>
            <w:r>
              <w:rPr>
                <w:bCs/>
                <w:sz w:val="20"/>
                <w:highlight w:val="white"/>
              </w:rPr>
              <w:t xml:space="preserve"> услуг»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15.04-10.05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</w:t>
            </w:r>
            <w:r>
              <w:rPr>
                <w:bCs/>
                <w:sz w:val="20"/>
                <w:highlight w:val="white"/>
              </w:rPr>
              <w:t xml:space="preserve">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Платежное поручение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</w:tbl>
    <w:p>
      <w:pPr>
        <w:jc w:val="both"/>
      </w:pPr>
      <w:r/>
      <w:r/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Лубянского</w:t>
      </w:r>
      <w:r>
        <w:rPr>
          <w:b/>
          <w:bCs/>
          <w:sz w:val="22"/>
          <w:szCs w:val="22"/>
        </w:rPr>
        <w:t xml:space="preserve">  сельского поселения </w:t>
      </w:r>
      <w:r>
        <w:rPr>
          <w:b/>
          <w:bCs/>
          <w:sz w:val="22"/>
          <w:szCs w:val="22"/>
        </w:rPr>
        <w:t xml:space="preserve">Чернянского</w:t>
      </w:r>
      <w:r>
        <w:rPr>
          <w:b/>
          <w:bCs/>
          <w:sz w:val="22"/>
          <w:szCs w:val="22"/>
        </w:rPr>
        <w:t xml:space="preserve"> района Белгородской области»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749"/>
        <w:tblW w:w="15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961"/>
        <w:gridCol w:w="1560"/>
        <w:gridCol w:w="2551"/>
        <w:gridCol w:w="1112"/>
      </w:tblGrid>
      <w:tr>
        <w:trPr>
          <w:trHeight w:val="1020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Временные </w:t>
            </w:r>
            <w:r>
              <w:rPr>
                <w:b/>
                <w:bCs/>
                <w:sz w:val="22"/>
                <w:szCs w:val="22"/>
              </w:rPr>
              <w:t xml:space="preserve">характерис-тики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сбора информации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предоставления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 w:eastAsia="Cambria Math" w:cs="Cambria Math"/>
                    <w:sz w:val="22"/>
                    <w:szCs w:val="22"/>
                  </w:rPr>
                  <m:rPr/>
                  <m:t>Отдыхающих,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rPr/>
                  <m:t> %=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/>
                      <m:t>численность населения 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rPr/>
                  <m:t>×100%</m:t>
                </m:r>
              </m:oMath>
            </m:oMathPara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</w:rPr>
              <w:t xml:space="preserve">Лубянского</w:t>
            </w:r>
            <w:r>
              <w:rPr>
                <w:bCs/>
                <w:sz w:val="20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rPr/>
                  <m:t>Посещающих,%=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rPr/>
                  <m:t>×100%</m:t>
                </m:r>
              </m:oMath>
            </m:oMathPara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</w:rPr>
              <w:t xml:space="preserve">Лубянского</w:t>
            </w:r>
            <w:r>
              <w:rPr>
                <w:bCs/>
                <w:sz w:val="20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</w:pPr>
      <w:r/>
      <w:r/>
      <w:r/>
    </w:p>
    <w:p>
      <w:pPr>
        <w:jc w:val="both"/>
      </w:pPr>
      <w:r/>
    </w:p>
    <w:sectPr>
      <w:footnotePr/>
      <w:endnotePr/>
      <w:type w:val="nextPage"/>
      <w:pgSz w:w="16838" w:h="11906" w:orient="landscape"/>
      <w:pgMar w:top="1560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hanging="360"/>
      </w:pPr>
      <w:rPr>
        <w:rFonts w:hint="default" w:ascii="Times New Roman" w:hAnsi="Times New Roman" w:cs="Times New Roman"/>
        <w:i w:val="0"/>
        <w:iCs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5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hanging="360"/>
      </w:pPr>
      <w:rPr>
        <w:rFonts w:hint="default" w:ascii="Times New Roman" w:hAnsi="Times New Roman" w:cs="Times New Roman"/>
        <w:i w:val="0"/>
        <w:iCs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5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8"/>
  </w:num>
  <w:num w:numId="5">
    <w:abstractNumId w:val="11"/>
  </w:num>
  <w:num w:numId="6">
    <w:abstractNumId w:val="15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18"/>
  </w:num>
  <w:num w:numId="14">
    <w:abstractNumId w:val="10"/>
  </w:num>
  <w:num w:numId="15">
    <w:abstractNumId w:val="2"/>
  </w:num>
  <w:num w:numId="16">
    <w:abstractNumId w:val="14"/>
  </w:num>
  <w:num w:numId="17">
    <w:abstractNumId w:val="6"/>
  </w:num>
  <w:num w:numId="18">
    <w:abstractNumId w:val="16"/>
  </w:num>
  <w:num w:numId="19">
    <w:abstractNumId w:val="17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rPr>
      <w:sz w:val="28"/>
      <w:lang w:eastAsia="ru-RU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 w:customStyle="1">
    <w:name w:val="Heading 1"/>
    <w:basedOn w:val="696"/>
    <w:next w:val="696"/>
    <w:link w:val="724"/>
    <w:pPr>
      <w:jc w:val="center"/>
      <w:keepNext/>
      <w:outlineLvl w:val="0"/>
    </w:pPr>
    <w:rPr>
      <w:sz w:val="36"/>
    </w:rPr>
  </w:style>
  <w:style w:type="paragraph" w:styleId="701" w:customStyle="1">
    <w:name w:val="Heading 2"/>
    <w:basedOn w:val="696"/>
    <w:next w:val="696"/>
    <w:link w:val="725"/>
    <w:pPr>
      <w:jc w:val="center"/>
      <w:keepNext/>
      <w:outlineLvl w:val="1"/>
    </w:pPr>
    <w:rPr>
      <w:b/>
      <w:bCs/>
    </w:rPr>
  </w:style>
  <w:style w:type="paragraph" w:styleId="702" w:customStyle="1">
    <w:name w:val="Heading 3"/>
    <w:basedOn w:val="696"/>
    <w:next w:val="696"/>
    <w:link w:val="726"/>
    <w:pPr>
      <w:jc w:val="center"/>
      <w:keepNext/>
      <w:outlineLvl w:val="2"/>
    </w:pPr>
  </w:style>
  <w:style w:type="paragraph" w:styleId="703" w:customStyle="1">
    <w:name w:val="Heading 4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 w:customStyle="1">
    <w:name w:val="Heading 5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Heading 6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Heading 7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 w:customStyle="1">
    <w:name w:val="Heading 8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 w:customStyle="1">
    <w:name w:val="Heading 9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97"/>
    <w:link w:val="911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697"/>
    <w:uiPriority w:val="10"/>
    <w:rPr>
      <w:sz w:val="48"/>
      <w:szCs w:val="48"/>
    </w:rPr>
  </w:style>
  <w:style w:type="character" w:styleId="719" w:customStyle="1">
    <w:name w:val="Subtitle Char"/>
    <w:basedOn w:val="697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1"/>
    <w:link w:val="702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96"/>
    <w:uiPriority w:val="99"/>
    <w:qFormat/>
    <w:pPr>
      <w:contextualSpacing/>
      <w:ind w:left="720"/>
    </w:pPr>
  </w:style>
  <w:style w:type="paragraph" w:styleId="734">
    <w:name w:val="No Spacing"/>
    <w:qFormat/>
  </w:style>
  <w:style w:type="paragraph" w:styleId="735">
    <w:name w:val="Title"/>
    <w:basedOn w:val="696"/>
    <w:next w:val="696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696"/>
    <w:next w:val="696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696"/>
    <w:next w:val="696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6"/>
    <w:next w:val="696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 w:customStyle="1">
    <w:name w:val="Header"/>
    <w:basedOn w:val="696"/>
    <w:link w:val="8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4" w:customStyle="1">
    <w:name w:val="Header Char"/>
    <w:uiPriority w:val="99"/>
  </w:style>
  <w:style w:type="paragraph" w:styleId="745" w:customStyle="1">
    <w:name w:val="Footer"/>
    <w:basedOn w:val="696"/>
    <w:link w:val="90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6" w:customStyle="1">
    <w:name w:val="Footer Char"/>
    <w:uiPriority w:val="99"/>
  </w:style>
  <w:style w:type="paragraph" w:styleId="747" w:customStyle="1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>
    <w:name w:val="Table Grid"/>
    <w:basedOn w:val="69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rPr>
      <w:color w:val="0000ff"/>
      <w:u w:val="single"/>
    </w:rPr>
  </w:style>
  <w:style w:type="paragraph" w:styleId="876">
    <w:name w:val="footnote text"/>
    <w:basedOn w:val="696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696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696"/>
    <w:next w:val="696"/>
    <w:uiPriority w:val="39"/>
    <w:unhideWhenUsed/>
    <w:pPr>
      <w:spacing w:after="57"/>
    </w:pPr>
  </w:style>
  <w:style w:type="paragraph" w:styleId="883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4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5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6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7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8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9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0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6"/>
    <w:next w:val="696"/>
    <w:uiPriority w:val="99"/>
    <w:unhideWhenUsed/>
  </w:style>
  <w:style w:type="paragraph" w:styleId="893">
    <w:name w:val="Body Text Indent"/>
    <w:basedOn w:val="696"/>
    <w:pPr>
      <w:ind w:firstLine="720"/>
      <w:jc w:val="both"/>
      <w:spacing w:line="360" w:lineRule="auto"/>
    </w:pPr>
  </w:style>
  <w:style w:type="paragraph" w:styleId="894">
    <w:name w:val="Balloon Text"/>
    <w:basedOn w:val="696"/>
    <w:semiHidden/>
    <w:rPr>
      <w:rFonts w:ascii="Tahoma" w:hAnsi="Tahoma"/>
      <w:sz w:val="16"/>
      <w:szCs w:val="16"/>
    </w:rPr>
  </w:style>
  <w:style w:type="paragraph" w:styleId="895" w:customStyle="1">
    <w:name w:val="Знак"/>
    <w:basedOn w:val="696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896" w:customStyle="1">
    <w:name w:val="Основной текст_"/>
    <w:link w:val="898"/>
    <w:rPr>
      <w:sz w:val="28"/>
      <w:szCs w:val="28"/>
      <w:shd w:val="clear" w:color="auto" w:fill="ffffff"/>
    </w:rPr>
  </w:style>
  <w:style w:type="character" w:styleId="897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98" w:customStyle="1">
    <w:name w:val="Основной текст1"/>
    <w:basedOn w:val="696"/>
    <w:link w:val="896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899" w:customStyle="1">
    <w:name w:val="Верхний колонтитул Знак"/>
    <w:link w:val="743"/>
    <w:rPr>
      <w:sz w:val="28"/>
    </w:rPr>
  </w:style>
  <w:style w:type="character" w:styleId="900" w:customStyle="1">
    <w:name w:val="Нижний колонтитул Знак"/>
    <w:link w:val="745"/>
    <w:rPr>
      <w:sz w:val="28"/>
    </w:rPr>
  </w:style>
  <w:style w:type="paragraph" w:styleId="901" w:customStyle="1">
    <w:name w:val="ConsPlusNonforma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902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3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4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05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06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07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09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10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11" w:customStyle="1">
    <w:name w:val="Заголовок 2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character" w:styleId="912">
    <w:name w:val="Placeholder Text"/>
    <w:basedOn w:val="697"/>
    <w:uiPriority w:val="99"/>
    <w:semiHidden/>
    <w:rPr>
      <w:color w:val="66666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package" Target="embeddings/Microsoft_Word_Document1.docx"/><Relationship Id="rId12" Type="http://schemas.openxmlformats.org/officeDocument/2006/relationships/hyperlink" Target="https://login.consultant.ru/link/?req=doc&amp;base=LAW&amp;n=357927&amp;date=27.08.2024" TargetMode="External"/><Relationship Id="rId13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BB4A-2BE6-4654-8DC5-022449E8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2025-04-01T11:36:00Z</dcterms:created>
  <dcterms:modified xsi:type="dcterms:W3CDTF">2025-04-30T04:50:48Z</dcterms:modified>
</cp:coreProperties>
</file>